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D948E" w14:textId="220B01C0" w:rsidR="008921E5" w:rsidRDefault="008921E5" w:rsidP="008921E5">
      <w:pPr>
        <w:pStyle w:val="NormalWeb"/>
        <w:spacing w:before="0" w:beforeAutospacing="0" w:after="0" w:afterAutospacing="0" w:line="252" w:lineRule="atLeast"/>
        <w:rPr>
          <w:rFonts w:ascii="Arial" w:hAnsi="Arial" w:cs="Arial"/>
          <w:color w:val="555555"/>
          <w:sz w:val="21"/>
          <w:szCs w:val="21"/>
        </w:rPr>
      </w:pPr>
      <w:r>
        <w:rPr>
          <w:rFonts w:ascii="Arial" w:hAnsi="Arial" w:cs="Arial"/>
          <w:color w:val="555555"/>
          <w:sz w:val="21"/>
          <w:szCs w:val="21"/>
        </w:rPr>
        <w:t xml:space="preserve">The Tomorrow’s Workforce Coalition advocates for beneficial workforce development policy that would strengthen the economy now and into the future. The Coalition supports the bipartisan, bicameral </w:t>
      </w:r>
      <w:r>
        <w:rPr>
          <w:rStyle w:val="Emphasis"/>
          <w:rFonts w:ascii="Arial" w:hAnsi="Arial" w:cs="Arial"/>
          <w:color w:val="555555"/>
          <w:sz w:val="21"/>
          <w:szCs w:val="21"/>
        </w:rPr>
        <w:t xml:space="preserve">Freedom to Invest in Tomorrow’s Workforce Act </w:t>
      </w:r>
      <w:r>
        <w:rPr>
          <w:rFonts w:ascii="Arial" w:hAnsi="Arial" w:cs="Arial"/>
          <w:color w:val="555555"/>
          <w:sz w:val="21"/>
          <w:szCs w:val="21"/>
        </w:rPr>
        <w:t xml:space="preserve">(S. 722 / H.R. 1477), which would expand qualified expenses under 529 savings plans to include postsecondary training and </w:t>
      </w:r>
      <w:r w:rsidRPr="008921E5">
        <w:rPr>
          <w:rFonts w:ascii="Arial" w:hAnsi="Arial" w:cs="Arial"/>
          <w:b/>
          <w:bCs/>
          <w:color w:val="555555"/>
          <w:sz w:val="21"/>
          <w:szCs w:val="21"/>
          <w:u w:val="single"/>
        </w:rPr>
        <w:t>credentialing, such as licenses and nongovernmental certifications;</w:t>
      </w:r>
      <w:r>
        <w:rPr>
          <w:rFonts w:ascii="Arial" w:hAnsi="Arial" w:cs="Arial"/>
          <w:color w:val="555555"/>
          <w:sz w:val="21"/>
          <w:szCs w:val="21"/>
        </w:rPr>
        <w:t xml:space="preserve"> it would provide valuable tax-advantaged resources to more workers pursuing career growth, mid-career changes or alternative career pathways.</w:t>
      </w:r>
    </w:p>
    <w:p w14:paraId="3C51CBAA" w14:textId="77777777" w:rsidR="008921E5" w:rsidRDefault="008921E5" w:rsidP="008921E5">
      <w:pPr>
        <w:pStyle w:val="NormalWeb"/>
        <w:spacing w:before="0" w:beforeAutospacing="0" w:after="0" w:afterAutospacing="0" w:line="252" w:lineRule="atLeast"/>
        <w:rPr>
          <w:rFonts w:ascii="Arial" w:hAnsi="Arial" w:cs="Arial"/>
          <w:color w:val="555555"/>
          <w:sz w:val="21"/>
          <w:szCs w:val="21"/>
        </w:rPr>
      </w:pPr>
    </w:p>
    <w:p w14:paraId="6C184248" w14:textId="77777777" w:rsidR="007E22B0" w:rsidRPr="007E22B0" w:rsidRDefault="007E22B0" w:rsidP="007E22B0">
      <w:pPr>
        <w:shd w:val="clear" w:color="auto" w:fill="FFFFFF"/>
        <w:spacing w:after="0" w:line="240" w:lineRule="auto"/>
        <w:jc w:val="center"/>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30"/>
          <w:szCs w:val="30"/>
          <w14:ligatures w14:val="none"/>
        </w:rPr>
        <w:t>IN THE HOUSE OF REPRESENTATIVES</w:t>
      </w:r>
    </w:p>
    <w:p w14:paraId="79B3BC90" w14:textId="77777777" w:rsidR="007E22B0" w:rsidRPr="007E22B0" w:rsidRDefault="007E22B0" w:rsidP="007E22B0">
      <w:pPr>
        <w:shd w:val="clear" w:color="auto" w:fill="FFFFFF"/>
        <w:spacing w:after="0" w:line="240" w:lineRule="auto"/>
        <w:jc w:val="center"/>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smallCaps/>
          <w:color w:val="333333"/>
          <w:kern w:val="0"/>
          <w:sz w:val="24"/>
          <w:szCs w:val="24"/>
          <w14:ligatures w14:val="none"/>
        </w:rPr>
        <w:t>March 8, 2023</w:t>
      </w:r>
    </w:p>
    <w:p w14:paraId="7F55DC9D" w14:textId="77777777" w:rsidR="007E22B0" w:rsidRPr="007E22B0" w:rsidRDefault="007E22B0" w:rsidP="007E22B0">
      <w:pPr>
        <w:shd w:val="clear" w:color="auto" w:fill="FFFFFF"/>
        <w:spacing w:before="100" w:beforeAutospacing="1" w:after="100" w:afterAutospacing="1" w:line="240" w:lineRule="auto"/>
        <w:ind w:hanging="480"/>
        <w:rPr>
          <w:rFonts w:ascii="Times New Roman" w:eastAsia="Times New Roman" w:hAnsi="Times New Roman" w:cs="Times New Roman"/>
          <w:color w:val="333333"/>
          <w:kern w:val="0"/>
          <w14:ligatures w14:val="none"/>
        </w:rPr>
      </w:pPr>
      <w:r w:rsidRPr="007E22B0">
        <w:rPr>
          <w:rFonts w:ascii="Times New Roman" w:eastAsia="Times New Roman" w:hAnsi="Times New Roman" w:cs="Times New Roman"/>
          <w:color w:val="333333"/>
          <w:kern w:val="0"/>
          <w14:ligatures w14:val="none"/>
        </w:rPr>
        <w:t>Mr. </w:t>
      </w:r>
      <w:r w:rsidRPr="007E22B0">
        <w:rPr>
          <w:rFonts w:ascii="Times New Roman" w:eastAsia="Times New Roman" w:hAnsi="Times New Roman" w:cs="Times New Roman"/>
          <w:smallCaps/>
          <w:color w:val="333333"/>
          <w:kern w:val="0"/>
          <w14:ligatures w14:val="none"/>
        </w:rPr>
        <w:t>Wittman</w:t>
      </w:r>
      <w:r w:rsidRPr="007E22B0">
        <w:rPr>
          <w:rFonts w:ascii="Times New Roman" w:eastAsia="Times New Roman" w:hAnsi="Times New Roman" w:cs="Times New Roman"/>
          <w:color w:val="333333"/>
          <w:kern w:val="0"/>
          <w14:ligatures w14:val="none"/>
        </w:rPr>
        <w:t> (for himself and Ms. </w:t>
      </w:r>
      <w:r w:rsidRPr="007E22B0">
        <w:rPr>
          <w:rFonts w:ascii="Times New Roman" w:eastAsia="Times New Roman" w:hAnsi="Times New Roman" w:cs="Times New Roman"/>
          <w:smallCaps/>
          <w:color w:val="333333"/>
          <w:kern w:val="0"/>
          <w14:ligatures w14:val="none"/>
        </w:rPr>
        <w:t>Spanberger</w:t>
      </w:r>
      <w:r w:rsidRPr="007E22B0">
        <w:rPr>
          <w:rFonts w:ascii="Times New Roman" w:eastAsia="Times New Roman" w:hAnsi="Times New Roman" w:cs="Times New Roman"/>
          <w:color w:val="333333"/>
          <w:kern w:val="0"/>
          <w14:ligatures w14:val="none"/>
        </w:rPr>
        <w:t xml:space="preserve">) introduced the following </w:t>
      </w:r>
      <w:proofErr w:type="gramStart"/>
      <w:r w:rsidRPr="007E22B0">
        <w:rPr>
          <w:rFonts w:ascii="Times New Roman" w:eastAsia="Times New Roman" w:hAnsi="Times New Roman" w:cs="Times New Roman"/>
          <w:color w:val="333333"/>
          <w:kern w:val="0"/>
          <w14:ligatures w14:val="none"/>
        </w:rPr>
        <w:t>bill;</w:t>
      </w:r>
      <w:proofErr w:type="gramEnd"/>
      <w:r w:rsidRPr="007E22B0">
        <w:rPr>
          <w:rFonts w:ascii="Times New Roman" w:eastAsia="Times New Roman" w:hAnsi="Times New Roman" w:cs="Times New Roman"/>
          <w:color w:val="333333"/>
          <w:kern w:val="0"/>
          <w14:ligatures w14:val="none"/>
        </w:rPr>
        <w:t xml:space="preserve"> which was referred to the Committee on Ways and Means</w:t>
      </w:r>
    </w:p>
    <w:p w14:paraId="1BFD806D" w14:textId="77777777" w:rsidR="007E22B0" w:rsidRPr="007E22B0" w:rsidRDefault="007E22B0" w:rsidP="007E22B0">
      <w:pPr>
        <w:spacing w:before="240" w:after="240" w:line="240" w:lineRule="auto"/>
        <w:rPr>
          <w:rFonts w:ascii="Times New Roman" w:eastAsia="Times New Roman" w:hAnsi="Times New Roman" w:cs="Times New Roman"/>
          <w:kern w:val="0"/>
          <w:sz w:val="24"/>
          <w:szCs w:val="24"/>
          <w14:ligatures w14:val="none"/>
        </w:rPr>
      </w:pPr>
      <w:r w:rsidRPr="007E22B0">
        <w:rPr>
          <w:rFonts w:ascii="Times New Roman" w:eastAsia="Times New Roman" w:hAnsi="Times New Roman" w:cs="Times New Roman"/>
          <w:kern w:val="0"/>
          <w:sz w:val="24"/>
          <w:szCs w:val="24"/>
          <w14:ligatures w14:val="none"/>
        </w:rPr>
        <w:pict w14:anchorId="5B1913C5">
          <v:rect id="_x0000_i1025" style="width:315pt;height:.75pt" o:hrpct="0" o:hralign="center" o:hrstd="t" o:hrnoshade="t" o:hr="t" fillcolor="gray" stroked="f"/>
        </w:pict>
      </w:r>
    </w:p>
    <w:p w14:paraId="6734A625" w14:textId="77777777" w:rsidR="007E22B0" w:rsidRPr="007E22B0" w:rsidRDefault="007E22B0" w:rsidP="007E22B0">
      <w:pPr>
        <w:shd w:val="clear" w:color="auto" w:fill="FFFFFF"/>
        <w:spacing w:after="0" w:line="240" w:lineRule="auto"/>
        <w:jc w:val="center"/>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b/>
          <w:bCs/>
          <w:color w:val="333333"/>
          <w:kern w:val="0"/>
          <w:sz w:val="60"/>
          <w:szCs w:val="60"/>
          <w14:ligatures w14:val="none"/>
        </w:rPr>
        <w:t>A BILL</w:t>
      </w:r>
    </w:p>
    <w:p w14:paraId="69D6BD65" w14:textId="77777777" w:rsidR="007E22B0" w:rsidRPr="007E22B0" w:rsidRDefault="007E22B0" w:rsidP="007E22B0">
      <w:pPr>
        <w:shd w:val="clear" w:color="auto" w:fill="FFFFFF"/>
        <w:spacing w:before="100" w:beforeAutospacing="1" w:after="100" w:afterAutospacing="1" w:line="240" w:lineRule="auto"/>
        <w:ind w:hanging="480"/>
        <w:rPr>
          <w:rFonts w:ascii="Times New Roman" w:eastAsia="Times New Roman" w:hAnsi="Times New Roman" w:cs="Times New Roman"/>
          <w:color w:val="333333"/>
          <w:kern w:val="0"/>
          <w:sz w:val="24"/>
          <w:szCs w:val="24"/>
          <w:u w:val="single"/>
          <w14:ligatures w14:val="none"/>
        </w:rPr>
      </w:pPr>
      <w:r w:rsidRPr="007E22B0">
        <w:rPr>
          <w:rFonts w:ascii="Times New Roman" w:eastAsia="Times New Roman" w:hAnsi="Times New Roman" w:cs="Times New Roman"/>
          <w:color w:val="333333"/>
          <w:kern w:val="0"/>
          <w:sz w:val="24"/>
          <w:szCs w:val="24"/>
          <w:u w:val="single"/>
          <w14:ligatures w14:val="none"/>
        </w:rPr>
        <w:t>To amend the Internal Revenue Code of 1986 to permit certain expenses associated with obtaining or maintaining recognized postsecondary credentials to be treated as qualified higher education expenses for purposes of 529 accounts.</w:t>
      </w:r>
    </w:p>
    <w:p w14:paraId="6E2CB15E"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i/>
          <w:iCs/>
          <w:color w:val="333333"/>
          <w:kern w:val="0"/>
          <w:sz w:val="24"/>
          <w:szCs w:val="24"/>
          <w14:ligatures w14:val="none"/>
        </w:rPr>
        <w:t>Be it enacted by the Senate and House of Representatives of the United States of America in Congress assembled,</w:t>
      </w:r>
    </w:p>
    <w:p w14:paraId="439D4FA5" w14:textId="77777777" w:rsidR="007E22B0" w:rsidRPr="007E22B0" w:rsidRDefault="007E22B0" w:rsidP="007E22B0">
      <w:pPr>
        <w:shd w:val="clear" w:color="auto" w:fill="FFFFFF"/>
        <w:spacing w:before="100" w:beforeAutospacing="1" w:after="100" w:afterAutospacing="1" w:line="240" w:lineRule="auto"/>
        <w:ind w:hanging="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b/>
          <w:bCs/>
          <w:color w:val="333333"/>
          <w:kern w:val="0"/>
          <w:sz w:val="24"/>
          <w:szCs w:val="24"/>
          <w14:ligatures w14:val="none"/>
        </w:rPr>
        <w:t>SECTION 1.</w:t>
      </w:r>
      <w:r w:rsidRPr="007E22B0">
        <w:rPr>
          <w:rFonts w:ascii="Times New Roman" w:eastAsia="Times New Roman" w:hAnsi="Times New Roman" w:cs="Times New Roman"/>
          <w:color w:val="333333"/>
          <w:kern w:val="0"/>
          <w:sz w:val="24"/>
          <w:szCs w:val="24"/>
          <w14:ligatures w14:val="none"/>
        </w:rPr>
        <w:t> </w:t>
      </w:r>
      <w:r w:rsidRPr="007E22B0">
        <w:rPr>
          <w:rFonts w:ascii="Times New Roman" w:eastAsia="Times New Roman" w:hAnsi="Times New Roman" w:cs="Times New Roman"/>
          <w:b/>
          <w:bCs/>
          <w:caps/>
          <w:color w:val="333333"/>
          <w:kern w:val="0"/>
          <w:sz w:val="24"/>
          <w:szCs w:val="24"/>
          <w14:ligatures w14:val="none"/>
        </w:rPr>
        <w:t>Short title</w:t>
      </w:r>
      <w:r w:rsidRPr="007E22B0">
        <w:rPr>
          <w:rFonts w:ascii="Times New Roman" w:eastAsia="Times New Roman" w:hAnsi="Times New Roman" w:cs="Times New Roman"/>
          <w:b/>
          <w:bCs/>
          <w:color w:val="333333"/>
          <w:kern w:val="0"/>
          <w:sz w:val="24"/>
          <w:szCs w:val="24"/>
          <w14:ligatures w14:val="none"/>
        </w:rPr>
        <w:t>.</w:t>
      </w:r>
    </w:p>
    <w:p w14:paraId="05054762"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 xml:space="preserve">This Act may be cited as the “Freedom </w:t>
      </w:r>
      <w:proofErr w:type="gramStart"/>
      <w:r w:rsidRPr="007E22B0">
        <w:rPr>
          <w:rFonts w:ascii="Times New Roman" w:eastAsia="Times New Roman" w:hAnsi="Times New Roman" w:cs="Times New Roman"/>
          <w:color w:val="333333"/>
          <w:kern w:val="0"/>
          <w:sz w:val="24"/>
          <w:szCs w:val="24"/>
          <w14:ligatures w14:val="none"/>
        </w:rPr>
        <w:t>To</w:t>
      </w:r>
      <w:proofErr w:type="gramEnd"/>
      <w:r w:rsidRPr="007E22B0">
        <w:rPr>
          <w:rFonts w:ascii="Times New Roman" w:eastAsia="Times New Roman" w:hAnsi="Times New Roman" w:cs="Times New Roman"/>
          <w:color w:val="333333"/>
          <w:kern w:val="0"/>
          <w:sz w:val="24"/>
          <w:szCs w:val="24"/>
          <w14:ligatures w14:val="none"/>
        </w:rPr>
        <w:t xml:space="preserve"> Invest in Tomorrow's Workforce Act”.</w:t>
      </w:r>
    </w:p>
    <w:p w14:paraId="3690374B" w14:textId="77777777" w:rsidR="007E22B0" w:rsidRPr="007E22B0" w:rsidRDefault="007E22B0" w:rsidP="007E22B0">
      <w:pPr>
        <w:shd w:val="clear" w:color="auto" w:fill="FFFFFF"/>
        <w:spacing w:before="100" w:beforeAutospacing="1" w:after="100" w:afterAutospacing="1" w:line="240" w:lineRule="auto"/>
        <w:ind w:hanging="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b/>
          <w:bCs/>
          <w:color w:val="333333"/>
          <w:kern w:val="0"/>
          <w:sz w:val="24"/>
          <w:szCs w:val="24"/>
          <w14:ligatures w14:val="none"/>
        </w:rPr>
        <w:t>SEC. 2. </w:t>
      </w:r>
      <w:r w:rsidRPr="007E22B0">
        <w:rPr>
          <w:rFonts w:ascii="Times New Roman" w:eastAsia="Times New Roman" w:hAnsi="Times New Roman" w:cs="Times New Roman"/>
          <w:b/>
          <w:bCs/>
          <w:caps/>
          <w:color w:val="333333"/>
          <w:kern w:val="0"/>
          <w:sz w:val="24"/>
          <w:szCs w:val="24"/>
          <w14:ligatures w14:val="none"/>
        </w:rPr>
        <w:t>Certain career training and credentialing expenses treated as qualified higher education expenses for purposes of 529 accounts</w:t>
      </w:r>
      <w:r w:rsidRPr="007E22B0">
        <w:rPr>
          <w:rFonts w:ascii="Times New Roman" w:eastAsia="Times New Roman" w:hAnsi="Times New Roman" w:cs="Times New Roman"/>
          <w:b/>
          <w:bCs/>
          <w:color w:val="333333"/>
          <w:kern w:val="0"/>
          <w:sz w:val="24"/>
          <w:szCs w:val="24"/>
          <w14:ligatures w14:val="none"/>
        </w:rPr>
        <w:t>.</w:t>
      </w:r>
    </w:p>
    <w:p w14:paraId="55A61708"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(a) </w:t>
      </w:r>
      <w:r w:rsidRPr="007E22B0">
        <w:rPr>
          <w:rFonts w:ascii="Times New Roman" w:eastAsia="Times New Roman" w:hAnsi="Times New Roman" w:cs="Times New Roman"/>
          <w:smallCaps/>
          <w:color w:val="333333"/>
          <w:spacing w:val="20"/>
          <w:kern w:val="0"/>
          <w:sz w:val="24"/>
          <w:szCs w:val="24"/>
          <w14:ligatures w14:val="none"/>
        </w:rPr>
        <w:t>In general</w:t>
      </w:r>
      <w:r w:rsidRPr="007E22B0">
        <w:rPr>
          <w:rFonts w:ascii="Times New Roman" w:eastAsia="Times New Roman" w:hAnsi="Times New Roman" w:cs="Times New Roman"/>
          <w:color w:val="333333"/>
          <w:kern w:val="0"/>
          <w:sz w:val="24"/>
          <w:szCs w:val="24"/>
          <w14:ligatures w14:val="none"/>
        </w:rPr>
        <w:t>.—</w:t>
      </w:r>
      <w:hyperlink r:id="rId4" w:history="1">
        <w:r w:rsidRPr="007E22B0">
          <w:rPr>
            <w:rFonts w:ascii="Times New Roman" w:eastAsia="Times New Roman" w:hAnsi="Times New Roman" w:cs="Times New Roman"/>
            <w:color w:val="3366CC"/>
            <w:kern w:val="0"/>
            <w:sz w:val="24"/>
            <w:szCs w:val="24"/>
            <w:u w:val="single"/>
            <w14:ligatures w14:val="none"/>
          </w:rPr>
          <w:t>Section 529(e)(3)</w:t>
        </w:r>
      </w:hyperlink>
      <w:r w:rsidRPr="007E22B0">
        <w:rPr>
          <w:rFonts w:ascii="Times New Roman" w:eastAsia="Times New Roman" w:hAnsi="Times New Roman" w:cs="Times New Roman"/>
          <w:color w:val="333333"/>
          <w:kern w:val="0"/>
          <w:sz w:val="24"/>
          <w:szCs w:val="24"/>
          <w14:ligatures w14:val="none"/>
        </w:rPr>
        <w:t> of the Internal Revenue Code of 1986 is amended by adding at the end the following new subparagraph:</w:t>
      </w:r>
    </w:p>
    <w:p w14:paraId="5FCE5F20"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“(C) </w:t>
      </w:r>
      <w:r w:rsidRPr="007E22B0">
        <w:rPr>
          <w:rFonts w:ascii="Times New Roman" w:eastAsia="Times New Roman" w:hAnsi="Times New Roman" w:cs="Times New Roman"/>
          <w:color w:val="333333"/>
          <w:kern w:val="0"/>
          <w:sz w:val="26"/>
          <w:szCs w:val="26"/>
          <w14:ligatures w14:val="none"/>
        </w:rPr>
        <w:t>C</w:t>
      </w:r>
      <w:r w:rsidRPr="007E22B0">
        <w:rPr>
          <w:rFonts w:ascii="Times New Roman" w:eastAsia="Times New Roman" w:hAnsi="Times New Roman" w:cs="Times New Roman"/>
          <w:color w:val="333333"/>
          <w:kern w:val="0"/>
          <w:sz w:val="24"/>
          <w:szCs w:val="24"/>
          <w14:ligatures w14:val="none"/>
        </w:rPr>
        <w:t xml:space="preserve">ERTAIN CAREER TRAINING AND CREDENTIALING </w:t>
      </w:r>
      <w:proofErr w:type="gramStart"/>
      <w:r w:rsidRPr="007E22B0">
        <w:rPr>
          <w:rFonts w:ascii="Times New Roman" w:eastAsia="Times New Roman" w:hAnsi="Times New Roman" w:cs="Times New Roman"/>
          <w:color w:val="333333"/>
          <w:kern w:val="0"/>
          <w:sz w:val="24"/>
          <w:szCs w:val="24"/>
          <w14:ligatures w14:val="none"/>
        </w:rPr>
        <w:t>EXPENSES.—</w:t>
      </w:r>
      <w:proofErr w:type="gramEnd"/>
    </w:p>
    <w:p w14:paraId="0B244AEF"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“(i) </w:t>
      </w:r>
      <w:r w:rsidRPr="007E22B0">
        <w:rPr>
          <w:rFonts w:ascii="Times New Roman" w:eastAsia="Times New Roman" w:hAnsi="Times New Roman" w:cs="Times New Roman"/>
          <w:color w:val="333333"/>
          <w:kern w:val="0"/>
          <w:sz w:val="26"/>
          <w:szCs w:val="26"/>
          <w14:ligatures w14:val="none"/>
        </w:rPr>
        <w:t>I</w:t>
      </w:r>
      <w:r w:rsidRPr="007E22B0">
        <w:rPr>
          <w:rFonts w:ascii="Times New Roman" w:eastAsia="Times New Roman" w:hAnsi="Times New Roman" w:cs="Times New Roman"/>
          <w:color w:val="333333"/>
          <w:kern w:val="0"/>
          <w:sz w:val="24"/>
          <w:szCs w:val="24"/>
          <w14:ligatures w14:val="none"/>
        </w:rPr>
        <w:t xml:space="preserve">N </w:t>
      </w:r>
      <w:proofErr w:type="gramStart"/>
      <w:r w:rsidRPr="007E22B0">
        <w:rPr>
          <w:rFonts w:ascii="Times New Roman" w:eastAsia="Times New Roman" w:hAnsi="Times New Roman" w:cs="Times New Roman"/>
          <w:color w:val="333333"/>
          <w:kern w:val="0"/>
          <w:sz w:val="24"/>
          <w:szCs w:val="24"/>
          <w14:ligatures w14:val="none"/>
        </w:rPr>
        <w:t>GENERAL.—</w:t>
      </w:r>
      <w:proofErr w:type="gramEnd"/>
      <w:r w:rsidRPr="007E22B0">
        <w:rPr>
          <w:rFonts w:ascii="Times New Roman" w:eastAsia="Times New Roman" w:hAnsi="Times New Roman" w:cs="Times New Roman"/>
          <w:color w:val="333333"/>
          <w:kern w:val="0"/>
          <w:sz w:val="24"/>
          <w:szCs w:val="24"/>
          <w14:ligatures w14:val="none"/>
        </w:rPr>
        <w:t>The term ‘qualified higher education expenses’ includes—</w:t>
      </w:r>
    </w:p>
    <w:p w14:paraId="0A5B736A"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“(I) tuition, fees, books, supplies, and equipment required for the enrollment or attendance of an individual in a recognized postsecondary credential program, or any other expense incurred in connection with enrollment in or attendance at a recognized postsecondary credential program if such expense would, if incurred in connection with enrollment or attendance at an eligible educational institution, be covered under subparagraph (e)(3)(A),</w:t>
      </w:r>
    </w:p>
    <w:p w14:paraId="71677303"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b/>
          <w:bCs/>
          <w:color w:val="333333"/>
          <w:kern w:val="0"/>
          <w:sz w:val="24"/>
          <w:szCs w:val="24"/>
          <w:u w:val="single"/>
          <w14:ligatures w14:val="none"/>
        </w:rPr>
      </w:pPr>
      <w:r w:rsidRPr="007E22B0">
        <w:rPr>
          <w:rFonts w:ascii="Times New Roman" w:eastAsia="Times New Roman" w:hAnsi="Times New Roman" w:cs="Times New Roman"/>
          <w:b/>
          <w:bCs/>
          <w:color w:val="333333"/>
          <w:kern w:val="0"/>
          <w:sz w:val="24"/>
          <w:szCs w:val="24"/>
          <w:u w:val="single"/>
          <w14:ligatures w14:val="none"/>
        </w:rPr>
        <w:lastRenderedPageBreak/>
        <w:t>“(II) fees required to obtain or maintain a recognized postsecondary credential (as defined in section 3(52) of the Workforce Innovation and Opportunity Act), including certificate or certification programs that are accredited by the National Commission on Certifying Agencies or the American National Standards Institute, or any postsecondary credential identified in regulations or guidance promulgated by the Internal Revenue Service, in consultation with the Department of Labor, for purposes of this subclause, and</w:t>
      </w:r>
    </w:p>
    <w:p w14:paraId="28B41B33" w14:textId="77777777" w:rsidR="007E22B0"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b/>
          <w:bCs/>
          <w:color w:val="333333"/>
          <w:kern w:val="0"/>
          <w:sz w:val="24"/>
          <w:szCs w:val="24"/>
          <w:u w:val="single"/>
          <w14:ligatures w14:val="none"/>
        </w:rPr>
      </w:pPr>
      <w:r w:rsidRPr="007E22B0">
        <w:rPr>
          <w:rFonts w:ascii="Times New Roman" w:eastAsia="Times New Roman" w:hAnsi="Times New Roman" w:cs="Times New Roman"/>
          <w:b/>
          <w:bCs/>
          <w:color w:val="333333"/>
          <w:kern w:val="0"/>
          <w:sz w:val="24"/>
          <w:szCs w:val="24"/>
          <w:u w:val="single"/>
          <w14:ligatures w14:val="none"/>
        </w:rPr>
        <w:t>“(III) fees for testing and other fees required by the organization issuing the recognized postsecondary credential as a condition of maintaining or obtaining the credential.</w:t>
      </w:r>
    </w:p>
    <w:p w14:paraId="5979CBC8" w14:textId="170EF0CC" w:rsidR="008921E5" w:rsidRPr="007E22B0" w:rsidRDefault="007E22B0" w:rsidP="007E22B0">
      <w:pPr>
        <w:shd w:val="clear" w:color="auto" w:fill="FFFFFF"/>
        <w:spacing w:before="100" w:beforeAutospacing="1" w:after="100" w:afterAutospacing="1" w:line="240" w:lineRule="auto"/>
        <w:ind w:firstLine="480"/>
        <w:rPr>
          <w:rFonts w:ascii="Times New Roman" w:eastAsia="Times New Roman" w:hAnsi="Times New Roman" w:cs="Times New Roman"/>
          <w:color w:val="333333"/>
          <w:kern w:val="0"/>
          <w:sz w:val="24"/>
          <w:szCs w:val="24"/>
          <w14:ligatures w14:val="none"/>
        </w:rPr>
      </w:pPr>
      <w:r w:rsidRPr="007E22B0">
        <w:rPr>
          <w:rFonts w:ascii="Times New Roman" w:eastAsia="Times New Roman" w:hAnsi="Times New Roman" w:cs="Times New Roman"/>
          <w:color w:val="333333"/>
          <w:kern w:val="0"/>
          <w:sz w:val="24"/>
          <w:szCs w:val="24"/>
          <w14:ligatures w14:val="none"/>
        </w:rPr>
        <w:t>“(ii) </w:t>
      </w:r>
      <w:r w:rsidRPr="007E22B0">
        <w:rPr>
          <w:rFonts w:ascii="Times New Roman" w:eastAsia="Times New Roman" w:hAnsi="Times New Roman" w:cs="Times New Roman"/>
          <w:color w:val="333333"/>
          <w:kern w:val="0"/>
          <w:sz w:val="26"/>
          <w:szCs w:val="26"/>
          <w14:ligatures w14:val="none"/>
        </w:rPr>
        <w:t>R</w:t>
      </w:r>
      <w:r w:rsidRPr="007E22B0">
        <w:rPr>
          <w:rFonts w:ascii="Times New Roman" w:eastAsia="Times New Roman" w:hAnsi="Times New Roman" w:cs="Times New Roman"/>
          <w:color w:val="333333"/>
          <w:kern w:val="0"/>
          <w:sz w:val="24"/>
          <w:szCs w:val="24"/>
          <w14:ligatures w14:val="none"/>
        </w:rPr>
        <w:t>ECOGNIZED POSTSECONDARY CREDENTIAL PROGRAM.—For purposes of this paragraph, the term ‘recognized postsecondary credential program’ means a program to obtain a recognized postsecondary credential if such program is included on a list prepared under section 122(d) of the Workforce Innovation and Opportunity Act or meets the training or educational prerequisites to qualify an individual to take an examination developed or administered by an organization widely recognized as providing reputable credentials in the occupation, where such examination is required to obtain or maintain a recognized postsecondary credential.”.</w:t>
      </w:r>
    </w:p>
    <w:p w14:paraId="543568DF" w14:textId="77777777" w:rsidR="00573282" w:rsidRDefault="00573282" w:rsidP="00515112">
      <w:pPr>
        <w:spacing w:after="0"/>
      </w:pPr>
    </w:p>
    <w:sectPr w:rsidR="0057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12"/>
    <w:rsid w:val="00096E9B"/>
    <w:rsid w:val="000C5BE3"/>
    <w:rsid w:val="00515112"/>
    <w:rsid w:val="00573282"/>
    <w:rsid w:val="005D0A0C"/>
    <w:rsid w:val="00654BEA"/>
    <w:rsid w:val="007E22B0"/>
    <w:rsid w:val="0089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B56E"/>
  <w15:chartTrackingRefBased/>
  <w15:docId w15:val="{EC62B36E-D469-4A62-BF84-EB2CD9FD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112"/>
    <w:rPr>
      <w:rFonts w:eastAsiaTheme="majorEastAsia" w:cstheme="majorBidi"/>
      <w:color w:val="272727" w:themeColor="text1" w:themeTint="D8"/>
    </w:rPr>
  </w:style>
  <w:style w:type="paragraph" w:styleId="Title">
    <w:name w:val="Title"/>
    <w:basedOn w:val="Normal"/>
    <w:next w:val="Normal"/>
    <w:link w:val="TitleChar"/>
    <w:uiPriority w:val="10"/>
    <w:qFormat/>
    <w:rsid w:val="00515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112"/>
    <w:pPr>
      <w:spacing w:before="160"/>
      <w:jc w:val="center"/>
    </w:pPr>
    <w:rPr>
      <w:i/>
      <w:iCs/>
      <w:color w:val="404040" w:themeColor="text1" w:themeTint="BF"/>
    </w:rPr>
  </w:style>
  <w:style w:type="character" w:customStyle="1" w:styleId="QuoteChar">
    <w:name w:val="Quote Char"/>
    <w:basedOn w:val="DefaultParagraphFont"/>
    <w:link w:val="Quote"/>
    <w:uiPriority w:val="29"/>
    <w:rsid w:val="00515112"/>
    <w:rPr>
      <w:i/>
      <w:iCs/>
      <w:color w:val="404040" w:themeColor="text1" w:themeTint="BF"/>
    </w:rPr>
  </w:style>
  <w:style w:type="paragraph" w:styleId="ListParagraph">
    <w:name w:val="List Paragraph"/>
    <w:basedOn w:val="Normal"/>
    <w:uiPriority w:val="34"/>
    <w:qFormat/>
    <w:rsid w:val="00515112"/>
    <w:pPr>
      <w:ind w:left="720"/>
      <w:contextualSpacing/>
    </w:pPr>
  </w:style>
  <w:style w:type="character" w:styleId="IntenseEmphasis">
    <w:name w:val="Intense Emphasis"/>
    <w:basedOn w:val="DefaultParagraphFont"/>
    <w:uiPriority w:val="21"/>
    <w:qFormat/>
    <w:rsid w:val="00515112"/>
    <w:rPr>
      <w:i/>
      <w:iCs/>
      <w:color w:val="0F4761" w:themeColor="accent1" w:themeShade="BF"/>
    </w:rPr>
  </w:style>
  <w:style w:type="paragraph" w:styleId="IntenseQuote">
    <w:name w:val="Intense Quote"/>
    <w:basedOn w:val="Normal"/>
    <w:next w:val="Normal"/>
    <w:link w:val="IntenseQuoteChar"/>
    <w:uiPriority w:val="30"/>
    <w:qFormat/>
    <w:rsid w:val="00515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112"/>
    <w:rPr>
      <w:i/>
      <w:iCs/>
      <w:color w:val="0F4761" w:themeColor="accent1" w:themeShade="BF"/>
    </w:rPr>
  </w:style>
  <w:style w:type="character" w:styleId="IntenseReference">
    <w:name w:val="Intense Reference"/>
    <w:basedOn w:val="DefaultParagraphFont"/>
    <w:uiPriority w:val="32"/>
    <w:qFormat/>
    <w:rsid w:val="00515112"/>
    <w:rPr>
      <w:b/>
      <w:bCs/>
      <w:smallCaps/>
      <w:color w:val="0F4761" w:themeColor="accent1" w:themeShade="BF"/>
      <w:spacing w:val="5"/>
    </w:rPr>
  </w:style>
  <w:style w:type="paragraph" w:styleId="NormalWeb">
    <w:name w:val="Normal (Web)"/>
    <w:basedOn w:val="Normal"/>
    <w:uiPriority w:val="99"/>
    <w:semiHidden/>
    <w:unhideWhenUsed/>
    <w:rsid w:val="008921E5"/>
    <w:pPr>
      <w:spacing w:before="100" w:beforeAutospacing="1" w:after="100" w:afterAutospacing="1" w:line="240" w:lineRule="auto"/>
    </w:pPr>
    <w:rPr>
      <w:rFonts w:ascii="Aptos" w:hAnsi="Aptos" w:cs="Aptos"/>
      <w:kern w:val="0"/>
      <w:sz w:val="24"/>
      <w:szCs w:val="24"/>
      <w14:ligatures w14:val="none"/>
    </w:rPr>
  </w:style>
  <w:style w:type="character" w:styleId="Emphasis">
    <w:name w:val="Emphasis"/>
    <w:basedOn w:val="DefaultParagraphFont"/>
    <w:uiPriority w:val="20"/>
    <w:qFormat/>
    <w:rsid w:val="00892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05991">
      <w:bodyDiv w:val="1"/>
      <w:marLeft w:val="0"/>
      <w:marRight w:val="0"/>
      <w:marTop w:val="0"/>
      <w:marBottom w:val="0"/>
      <w:divBdr>
        <w:top w:val="none" w:sz="0" w:space="0" w:color="auto"/>
        <w:left w:val="none" w:sz="0" w:space="0" w:color="auto"/>
        <w:bottom w:val="none" w:sz="0" w:space="0" w:color="auto"/>
        <w:right w:val="none" w:sz="0" w:space="0" w:color="auto"/>
      </w:divBdr>
    </w:div>
    <w:div w:id="1853644524">
      <w:bodyDiv w:val="1"/>
      <w:marLeft w:val="0"/>
      <w:marRight w:val="0"/>
      <w:marTop w:val="0"/>
      <w:marBottom w:val="0"/>
      <w:divBdr>
        <w:top w:val="none" w:sz="0" w:space="0" w:color="auto"/>
        <w:left w:val="none" w:sz="0" w:space="0" w:color="auto"/>
        <w:bottom w:val="none" w:sz="0" w:space="0" w:color="auto"/>
        <w:right w:val="none" w:sz="0" w:space="0" w:color="auto"/>
      </w:divBdr>
      <w:divsChild>
        <w:div w:id="193230935">
          <w:marLeft w:val="0"/>
          <w:marRight w:val="0"/>
          <w:marTop w:val="0"/>
          <w:marBottom w:val="0"/>
          <w:divBdr>
            <w:top w:val="none" w:sz="0" w:space="0" w:color="auto"/>
            <w:left w:val="none" w:sz="0" w:space="0" w:color="auto"/>
            <w:bottom w:val="none" w:sz="0" w:space="0" w:color="auto"/>
            <w:right w:val="none" w:sz="0" w:space="0" w:color="auto"/>
          </w:divBdr>
        </w:div>
        <w:div w:id="1110659442">
          <w:marLeft w:val="0"/>
          <w:marRight w:val="0"/>
          <w:marTop w:val="0"/>
          <w:marBottom w:val="0"/>
          <w:divBdr>
            <w:top w:val="none" w:sz="0" w:space="0" w:color="auto"/>
            <w:left w:val="none" w:sz="0" w:space="0" w:color="auto"/>
            <w:bottom w:val="none" w:sz="0" w:space="0" w:color="auto"/>
            <w:right w:val="none" w:sz="0" w:space="0" w:color="auto"/>
          </w:divBdr>
        </w:div>
        <w:div w:id="801462364">
          <w:marLeft w:val="0"/>
          <w:marRight w:val="0"/>
          <w:marTop w:val="0"/>
          <w:marBottom w:val="0"/>
          <w:divBdr>
            <w:top w:val="none" w:sz="0" w:space="0" w:color="auto"/>
            <w:left w:val="none" w:sz="0" w:space="0" w:color="auto"/>
            <w:bottom w:val="none" w:sz="0" w:space="0" w:color="auto"/>
            <w:right w:val="none" w:sz="0" w:space="0" w:color="auto"/>
          </w:divBdr>
        </w:div>
        <w:div w:id="191863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scode.house.gov/quicksearch/get.plx?title=26&amp;section=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5</cp:revision>
  <dcterms:created xsi:type="dcterms:W3CDTF">2024-10-21T14:42:00Z</dcterms:created>
  <dcterms:modified xsi:type="dcterms:W3CDTF">2024-10-22T15:51:00Z</dcterms:modified>
</cp:coreProperties>
</file>