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0A07B" w14:textId="6101F6EF" w:rsidR="00431AB1" w:rsidRPr="00431AB1" w:rsidRDefault="0054271F" w:rsidP="00431AB1">
      <w:pPr>
        <w:spacing w:after="0"/>
        <w:jc w:val="center"/>
        <w:rPr>
          <w:sz w:val="32"/>
          <w:szCs w:val="32"/>
        </w:rPr>
      </w:pPr>
      <w:r>
        <w:rPr>
          <w:sz w:val="32"/>
          <w:szCs w:val="32"/>
        </w:rPr>
        <w:t>LEGISLATIVE/</w:t>
      </w:r>
      <w:r w:rsidR="00431AB1" w:rsidRPr="00431AB1">
        <w:rPr>
          <w:sz w:val="32"/>
          <w:szCs w:val="32"/>
        </w:rPr>
        <w:t>REGULATORY ALERT</w:t>
      </w:r>
    </w:p>
    <w:p w14:paraId="23FA1730" w14:textId="77777777" w:rsidR="00431AB1" w:rsidRPr="00431AB1" w:rsidRDefault="00431AB1" w:rsidP="00431AB1">
      <w:pPr>
        <w:spacing w:after="0"/>
        <w:rPr>
          <w:sz w:val="32"/>
          <w:szCs w:val="32"/>
        </w:rPr>
      </w:pPr>
    </w:p>
    <w:p w14:paraId="30980972" w14:textId="18DF7149" w:rsidR="00431AB1" w:rsidRPr="00431AB1" w:rsidRDefault="00431AB1" w:rsidP="00431AB1">
      <w:pPr>
        <w:spacing w:after="0"/>
        <w:rPr>
          <w:sz w:val="32"/>
          <w:szCs w:val="32"/>
        </w:rPr>
      </w:pPr>
      <w:r w:rsidRPr="00431AB1">
        <w:rPr>
          <w:b/>
          <w:bCs/>
          <w:sz w:val="32"/>
          <w:szCs w:val="32"/>
        </w:rPr>
        <w:t xml:space="preserve">TO:  </w:t>
      </w:r>
      <w:r w:rsidRPr="00431AB1">
        <w:rPr>
          <w:b/>
          <w:bCs/>
          <w:sz w:val="32"/>
          <w:szCs w:val="32"/>
        </w:rPr>
        <w:tab/>
      </w:r>
      <w:r w:rsidRPr="00431AB1">
        <w:rPr>
          <w:b/>
          <w:bCs/>
          <w:sz w:val="32"/>
          <w:szCs w:val="32"/>
        </w:rPr>
        <w:tab/>
      </w:r>
      <w:r>
        <w:rPr>
          <w:sz w:val="32"/>
          <w:szCs w:val="32"/>
        </w:rPr>
        <w:t>ATP Members</w:t>
      </w:r>
    </w:p>
    <w:p w14:paraId="0218A2F0" w14:textId="77777777" w:rsidR="00431AB1" w:rsidRPr="00431AB1" w:rsidRDefault="00431AB1" w:rsidP="00431AB1">
      <w:pPr>
        <w:spacing w:after="0"/>
        <w:rPr>
          <w:b/>
          <w:bCs/>
          <w:sz w:val="32"/>
          <w:szCs w:val="32"/>
        </w:rPr>
      </w:pPr>
    </w:p>
    <w:p w14:paraId="6020B166" w14:textId="0EFF98D6" w:rsidR="00431AB1" w:rsidRDefault="00431AB1" w:rsidP="00431AB1">
      <w:pPr>
        <w:spacing w:after="0"/>
        <w:rPr>
          <w:sz w:val="32"/>
          <w:szCs w:val="32"/>
        </w:rPr>
      </w:pPr>
      <w:r w:rsidRPr="00431AB1">
        <w:rPr>
          <w:b/>
          <w:bCs/>
          <w:sz w:val="32"/>
          <w:szCs w:val="32"/>
        </w:rPr>
        <w:t>FROM:</w:t>
      </w:r>
      <w:r w:rsidRPr="00431AB1">
        <w:rPr>
          <w:sz w:val="32"/>
          <w:szCs w:val="32"/>
        </w:rPr>
        <w:t xml:space="preserve">    </w:t>
      </w:r>
      <w:r w:rsidRPr="00431AB1">
        <w:rPr>
          <w:sz w:val="32"/>
          <w:szCs w:val="32"/>
        </w:rPr>
        <w:tab/>
        <w:t>Alan Thiemann</w:t>
      </w:r>
      <w:r w:rsidR="00793A5C">
        <w:rPr>
          <w:sz w:val="32"/>
          <w:szCs w:val="32"/>
        </w:rPr>
        <w:t>, Donna McPartland,</w:t>
      </w:r>
      <w:r w:rsidRPr="00431AB1">
        <w:rPr>
          <w:sz w:val="32"/>
          <w:szCs w:val="32"/>
        </w:rPr>
        <w:t xml:space="preserve"> and</w:t>
      </w:r>
      <w:r>
        <w:rPr>
          <w:sz w:val="32"/>
          <w:szCs w:val="32"/>
        </w:rPr>
        <w:t xml:space="preserve"> Will Snoeyenbos</w:t>
      </w:r>
    </w:p>
    <w:p w14:paraId="26858135" w14:textId="6ABA8FE4" w:rsidR="00431AB1" w:rsidRPr="00431AB1" w:rsidRDefault="00431AB1" w:rsidP="00431AB1">
      <w:pPr>
        <w:spacing w:after="0"/>
        <w:rPr>
          <w:sz w:val="32"/>
          <w:szCs w:val="32"/>
        </w:rPr>
      </w:pPr>
      <w:r>
        <w:rPr>
          <w:sz w:val="32"/>
          <w:szCs w:val="32"/>
        </w:rPr>
        <w:tab/>
      </w:r>
      <w:r>
        <w:rPr>
          <w:sz w:val="32"/>
          <w:szCs w:val="32"/>
        </w:rPr>
        <w:tab/>
        <w:t>Han Santos, PLLC</w:t>
      </w:r>
    </w:p>
    <w:p w14:paraId="2F8CA509" w14:textId="77777777" w:rsidR="00431AB1" w:rsidRDefault="00431AB1" w:rsidP="00431AB1">
      <w:pPr>
        <w:spacing w:after="0"/>
        <w:rPr>
          <w:sz w:val="32"/>
          <w:szCs w:val="32"/>
        </w:rPr>
      </w:pPr>
    </w:p>
    <w:p w14:paraId="69EA80B3" w14:textId="75430811" w:rsidR="00431AB1" w:rsidRPr="00431AB1" w:rsidRDefault="00431AB1" w:rsidP="00431AB1">
      <w:pPr>
        <w:spacing w:after="0"/>
        <w:rPr>
          <w:sz w:val="32"/>
          <w:szCs w:val="32"/>
        </w:rPr>
      </w:pPr>
      <w:r>
        <w:rPr>
          <w:b/>
          <w:bCs/>
          <w:sz w:val="32"/>
          <w:szCs w:val="32"/>
        </w:rPr>
        <w:t>DATE:</w:t>
      </w:r>
      <w:r>
        <w:rPr>
          <w:b/>
          <w:bCs/>
          <w:sz w:val="32"/>
          <w:szCs w:val="32"/>
        </w:rPr>
        <w:tab/>
      </w:r>
      <w:r>
        <w:rPr>
          <w:sz w:val="32"/>
          <w:szCs w:val="32"/>
        </w:rPr>
        <w:t>May 2</w:t>
      </w:r>
      <w:r w:rsidR="0056715E">
        <w:rPr>
          <w:sz w:val="32"/>
          <w:szCs w:val="32"/>
        </w:rPr>
        <w:t>5</w:t>
      </w:r>
      <w:r>
        <w:rPr>
          <w:sz w:val="32"/>
          <w:szCs w:val="32"/>
        </w:rPr>
        <w:t>, 2023</w:t>
      </w:r>
    </w:p>
    <w:p w14:paraId="4E69761B" w14:textId="77777777" w:rsidR="00431AB1" w:rsidRDefault="00431AB1" w:rsidP="00431AB1">
      <w:pPr>
        <w:spacing w:after="0"/>
        <w:rPr>
          <w:sz w:val="32"/>
          <w:szCs w:val="32"/>
        </w:rPr>
      </w:pPr>
    </w:p>
    <w:p w14:paraId="451BE433" w14:textId="3EEB569D" w:rsidR="003F0D5F" w:rsidRPr="00431AB1" w:rsidRDefault="00431AB1" w:rsidP="00431AB1">
      <w:pPr>
        <w:spacing w:after="0"/>
        <w:rPr>
          <w:sz w:val="32"/>
          <w:szCs w:val="32"/>
          <w:u w:val="single"/>
        </w:rPr>
      </w:pPr>
      <w:r w:rsidRPr="00431AB1">
        <w:rPr>
          <w:b/>
          <w:bCs/>
          <w:sz w:val="32"/>
          <w:szCs w:val="32"/>
        </w:rPr>
        <w:t>RE</w:t>
      </w:r>
      <w:r>
        <w:rPr>
          <w:b/>
          <w:bCs/>
          <w:sz w:val="32"/>
          <w:szCs w:val="32"/>
        </w:rPr>
        <w:t xml:space="preserve">:    </w:t>
      </w:r>
      <w:r>
        <w:rPr>
          <w:b/>
          <w:bCs/>
          <w:sz w:val="32"/>
          <w:szCs w:val="32"/>
        </w:rPr>
        <w:tab/>
      </w:r>
      <w:r>
        <w:rPr>
          <w:b/>
          <w:bCs/>
          <w:sz w:val="32"/>
          <w:szCs w:val="32"/>
        </w:rPr>
        <w:tab/>
      </w:r>
      <w:r w:rsidR="003F0D5F" w:rsidRPr="00431AB1">
        <w:rPr>
          <w:sz w:val="32"/>
          <w:szCs w:val="32"/>
          <w:u w:val="single"/>
        </w:rPr>
        <w:t>State Privacy Legislation</w:t>
      </w:r>
      <w:r>
        <w:rPr>
          <w:sz w:val="32"/>
          <w:szCs w:val="32"/>
          <w:u w:val="single"/>
        </w:rPr>
        <w:t xml:space="preserve"> Update</w:t>
      </w:r>
    </w:p>
    <w:p w14:paraId="0689E3B9" w14:textId="77777777" w:rsidR="00431AB1" w:rsidRPr="00431AB1" w:rsidRDefault="00431AB1" w:rsidP="00431AB1">
      <w:pPr>
        <w:spacing w:after="0"/>
        <w:jc w:val="center"/>
        <w:rPr>
          <w:sz w:val="32"/>
          <w:szCs w:val="32"/>
        </w:rPr>
      </w:pPr>
    </w:p>
    <w:p w14:paraId="6C62CA96" w14:textId="272C7462" w:rsidR="00AD4852" w:rsidRDefault="00664161" w:rsidP="003F0D5F">
      <w:r>
        <w:t>Four state</w:t>
      </w:r>
      <w:r w:rsidR="00AD4852">
        <w:t>s</w:t>
      </w:r>
      <w:r w:rsidR="000C7DFF">
        <w:t xml:space="preserve"> </w:t>
      </w:r>
      <w:r w:rsidR="00BE1315">
        <w:t>have just enacted</w:t>
      </w:r>
      <w:r>
        <w:t xml:space="preserve"> comprehensive </w:t>
      </w:r>
      <w:r w:rsidR="00401FBD">
        <w:t>consumer data privacy legislation</w:t>
      </w:r>
      <w:r w:rsidR="0059717A">
        <w:t xml:space="preserve">, bringing to 10 the number of states that have consumer privacy laws.  </w:t>
      </w:r>
      <w:r w:rsidR="00401FBD">
        <w:t xml:space="preserve"> </w:t>
      </w:r>
      <w:r w:rsidR="00AB0638">
        <w:rPr>
          <w:rStyle w:val="Strong"/>
        </w:rPr>
        <w:t>Testing organizations now have more state laws to add to their list for compliance with privacy rights and to address from a contractual standpoint.</w:t>
      </w:r>
    </w:p>
    <w:p w14:paraId="3BBA4B27" w14:textId="79C50BAB" w:rsidR="000C7DFF" w:rsidRDefault="00AD4852" w:rsidP="003F0D5F">
      <w:r>
        <w:t xml:space="preserve">The newest states </w:t>
      </w:r>
      <w:proofErr w:type="gramStart"/>
      <w:r>
        <w:t>are:</w:t>
      </w:r>
      <w:proofErr w:type="gramEnd"/>
      <w:r>
        <w:t xml:space="preserve">  </w:t>
      </w:r>
      <w:r w:rsidR="00664161">
        <w:t xml:space="preserve">Iowa </w:t>
      </w:r>
      <w:r w:rsidR="00431AB1">
        <w:t>G</w:t>
      </w:r>
      <w:r w:rsidR="00664161">
        <w:t>overnor Kim Reynolds signed data privacy legislation into law on March 28, 2023</w:t>
      </w:r>
      <w:r w:rsidR="006052F2">
        <w:t xml:space="preserve">; </w:t>
      </w:r>
      <w:r w:rsidR="00A62885">
        <w:t xml:space="preserve">Indiana Governor Eric Holcomb signed </w:t>
      </w:r>
      <w:r w:rsidR="00E43933">
        <w:t xml:space="preserve">privacy legislation into law on May 1, 2023; </w:t>
      </w:r>
      <w:r w:rsidR="00B106C9">
        <w:t>Tennessee Governor Bill Lee signed privacy legislation into law on May 1</w:t>
      </w:r>
      <w:r w:rsidR="00020E44">
        <w:t>1</w:t>
      </w:r>
      <w:r w:rsidR="00B106C9">
        <w:t xml:space="preserve">, 2023. </w:t>
      </w:r>
      <w:r w:rsidR="00020E44">
        <w:t xml:space="preserve">Finally, </w:t>
      </w:r>
      <w:r w:rsidR="000C7DFF">
        <w:t xml:space="preserve">Montana </w:t>
      </w:r>
      <w:r w:rsidR="00020E44">
        <w:t>Governor Greg Gianforte signed</w:t>
      </w:r>
      <w:r w:rsidR="000C7DFF">
        <w:t xml:space="preserve"> privacy legislation on </w:t>
      </w:r>
      <w:r w:rsidR="00020E44">
        <w:t>May 19</w:t>
      </w:r>
      <w:r w:rsidR="000C7DFF">
        <w:t xml:space="preserve">, 2023. </w:t>
      </w:r>
    </w:p>
    <w:p w14:paraId="0BFAD79E" w14:textId="66E94073" w:rsidR="00AE5464" w:rsidRDefault="00AE5464" w:rsidP="003F0D5F">
      <w:r>
        <w:t xml:space="preserve">The Iowa Act Relating to Consumer Data Protection, the </w:t>
      </w:r>
      <w:r w:rsidR="003F0D5F">
        <w:t xml:space="preserve">Indiana </w:t>
      </w:r>
      <w:r w:rsidR="000C7DFF">
        <w:t>Consumer Data Protection Law</w:t>
      </w:r>
      <w:r>
        <w:t xml:space="preserve">, the Montana Consumer Data </w:t>
      </w:r>
      <w:r w:rsidR="00283544">
        <w:t>Privacy</w:t>
      </w:r>
      <w:r>
        <w:t xml:space="preserve"> Act, and the Tennessee Information Protection Act are generally business-friendly and share</w:t>
      </w:r>
      <w:r w:rsidR="00431AB1">
        <w:t xml:space="preserve"> </w:t>
      </w:r>
      <w:proofErr w:type="gramStart"/>
      <w:r w:rsidR="00431AB1">
        <w:t>a number of</w:t>
      </w:r>
      <w:proofErr w:type="gramEnd"/>
      <w:r>
        <w:t xml:space="preserve"> similar core requirements. </w:t>
      </w:r>
      <w:r w:rsidR="00BE1315">
        <w:t>K</w:t>
      </w:r>
      <w:r>
        <w:t xml:space="preserve">ey similarities and differences are discussed below. </w:t>
      </w:r>
    </w:p>
    <w:p w14:paraId="471F91B3" w14:textId="4BC716CE" w:rsidR="009F770D" w:rsidRPr="00606DD9" w:rsidRDefault="00AE5464" w:rsidP="00606DD9">
      <w:pPr>
        <w:rPr>
          <w:sz w:val="28"/>
          <w:szCs w:val="28"/>
        </w:rPr>
      </w:pPr>
      <w:r w:rsidRPr="00AE5464">
        <w:rPr>
          <w:sz w:val="28"/>
          <w:szCs w:val="28"/>
        </w:rPr>
        <w:t>Effective Date</w:t>
      </w:r>
      <w:r w:rsidR="00431AB1">
        <w:rPr>
          <w:sz w:val="28"/>
          <w:szCs w:val="28"/>
        </w:rPr>
        <w:t>s</w:t>
      </w:r>
      <w:r w:rsidRPr="00AE5464">
        <w:rPr>
          <w:sz w:val="28"/>
          <w:szCs w:val="28"/>
        </w:rPr>
        <w:t xml:space="preserve"> </w:t>
      </w:r>
    </w:p>
    <w:p w14:paraId="20881CE2" w14:textId="35D65101" w:rsidR="00431AB1" w:rsidRDefault="00431AB1" w:rsidP="00431AB1">
      <w:pPr>
        <w:spacing w:after="0"/>
      </w:pPr>
      <w:r w:rsidRPr="00AE5464">
        <w:rPr>
          <w:u w:val="single"/>
        </w:rPr>
        <w:t>Montana</w:t>
      </w:r>
      <w:r>
        <w:t xml:space="preserve">: October </w:t>
      </w:r>
      <w:r w:rsidR="00FE1340">
        <w:t>1</w:t>
      </w:r>
      <w:r>
        <w:t>, 2024</w:t>
      </w:r>
    </w:p>
    <w:p w14:paraId="5159AFB1" w14:textId="77777777" w:rsidR="00431AB1" w:rsidRDefault="00431AB1" w:rsidP="00431AB1">
      <w:pPr>
        <w:spacing w:after="0"/>
      </w:pPr>
      <w:r w:rsidRPr="00AE5464">
        <w:rPr>
          <w:u w:val="single"/>
        </w:rPr>
        <w:t>Iowa</w:t>
      </w:r>
      <w:r>
        <w:t>: January 1, 2025</w:t>
      </w:r>
    </w:p>
    <w:p w14:paraId="03542927" w14:textId="0F157056" w:rsidR="00606DD9" w:rsidRDefault="00606DD9" w:rsidP="00431AB1">
      <w:pPr>
        <w:spacing w:after="0"/>
      </w:pPr>
      <w:r w:rsidRPr="00AE5464">
        <w:rPr>
          <w:u w:val="single"/>
        </w:rPr>
        <w:t>Tennessee</w:t>
      </w:r>
      <w:r>
        <w:t>: July 1, 2025</w:t>
      </w:r>
    </w:p>
    <w:p w14:paraId="78B5F6F5" w14:textId="77777777" w:rsidR="00431AB1" w:rsidRDefault="00431AB1" w:rsidP="00431AB1">
      <w:pPr>
        <w:spacing w:after="0"/>
      </w:pPr>
      <w:r w:rsidRPr="00AE5464">
        <w:rPr>
          <w:u w:val="single"/>
        </w:rPr>
        <w:t>Indiana</w:t>
      </w:r>
      <w:r>
        <w:t>: January 1, 2026</w:t>
      </w:r>
    </w:p>
    <w:p w14:paraId="054D8255" w14:textId="77777777" w:rsidR="00BF3D59" w:rsidRDefault="00BF3D59" w:rsidP="00BF3D59">
      <w:pPr>
        <w:spacing w:after="0"/>
      </w:pPr>
    </w:p>
    <w:p w14:paraId="3A09C309" w14:textId="0DDC8971" w:rsidR="00AE5464" w:rsidRDefault="00AE5464" w:rsidP="00BF3D59">
      <w:pPr>
        <w:rPr>
          <w:sz w:val="28"/>
          <w:szCs w:val="28"/>
        </w:rPr>
      </w:pPr>
      <w:r w:rsidRPr="00AE5464">
        <w:rPr>
          <w:sz w:val="28"/>
          <w:szCs w:val="28"/>
        </w:rPr>
        <w:t>Scope and Applicability</w:t>
      </w:r>
    </w:p>
    <w:p w14:paraId="55BE70E9" w14:textId="65937C5F" w:rsidR="00E660EE" w:rsidRDefault="00E660EE" w:rsidP="00BF3D59">
      <w:r>
        <w:t xml:space="preserve">All four laws apply to entities that </w:t>
      </w:r>
      <w:r w:rsidR="007D05E4">
        <w:t xml:space="preserve">either </w:t>
      </w:r>
      <w:r>
        <w:t>conduct business in or</w:t>
      </w:r>
      <w:r w:rsidR="00250E37">
        <w:t xml:space="preserve"> target the sale of </w:t>
      </w:r>
      <w:r>
        <w:t xml:space="preserve">products or services to </w:t>
      </w:r>
      <w:r w:rsidR="007D05E4">
        <w:t xml:space="preserve">state </w:t>
      </w:r>
      <w:r>
        <w:t>residents</w:t>
      </w:r>
      <w:r w:rsidR="007D05E4">
        <w:t xml:space="preserve">. </w:t>
      </w:r>
      <w:r w:rsidR="00F52E93">
        <w:t xml:space="preserve"> </w:t>
      </w:r>
      <w:r w:rsidR="00891FED">
        <w:t>Under all four laws, de-identified data that the controller has stated it will not try to re-identify is NOT included as “personal information.” Also,</w:t>
      </w:r>
      <w:r w:rsidR="00F52E93">
        <w:t xml:space="preserve"> </w:t>
      </w:r>
      <w:r w:rsidR="00891FED">
        <w:t>n</w:t>
      </w:r>
      <w:r w:rsidR="009C4DCE">
        <w:t xml:space="preserve">one of these laws </w:t>
      </w:r>
      <w:r w:rsidR="00215C95">
        <w:t>define</w:t>
      </w:r>
      <w:r w:rsidR="006E62C4">
        <w:t xml:space="preserve"> business contact information</w:t>
      </w:r>
      <w:r w:rsidR="006F4A48">
        <w:t xml:space="preserve"> or information collected from job a</w:t>
      </w:r>
      <w:r w:rsidR="00DC0C50">
        <w:t>pplicants and employees</w:t>
      </w:r>
      <w:r w:rsidR="00215C95">
        <w:t xml:space="preserve"> as “consumer” information</w:t>
      </w:r>
      <w:r w:rsidR="006E62C4">
        <w:t>.</w:t>
      </w:r>
    </w:p>
    <w:p w14:paraId="019DD65E" w14:textId="3221DD2D" w:rsidR="00167480" w:rsidRDefault="009D10D0" w:rsidP="00BF3D59">
      <w:r>
        <w:t>While the language of each state law is somewhat different</w:t>
      </w:r>
      <w:r w:rsidR="00167480">
        <w:t xml:space="preserve">, the Tennessee law </w:t>
      </w:r>
      <w:r>
        <w:t>provides a good illustration o</w:t>
      </w:r>
      <w:r w:rsidR="00FB31CE">
        <w:t xml:space="preserve">f </w:t>
      </w:r>
      <w:r w:rsidR="0029520B">
        <w:t xml:space="preserve">the </w:t>
      </w:r>
      <w:r w:rsidR="00BA369A">
        <w:t>definition</w:t>
      </w:r>
      <w:r w:rsidR="0029520B">
        <w:t xml:space="preserve"> of </w:t>
      </w:r>
      <w:r w:rsidR="00AF1548">
        <w:t>business contact and employee data from</w:t>
      </w:r>
      <w:r w:rsidR="00FB31CE">
        <w:t xml:space="preserve"> </w:t>
      </w:r>
      <w:r w:rsidR="00FD3544">
        <w:t>coverage</w:t>
      </w:r>
      <w:r w:rsidR="002118CA">
        <w:t>,</w:t>
      </w:r>
      <w:r w:rsidR="00577441">
        <w:t xml:space="preserve"> </w:t>
      </w:r>
      <w:r w:rsidR="00BA369A">
        <w:t xml:space="preserve">including </w:t>
      </w:r>
      <w:r w:rsidR="00A34C25">
        <w:t xml:space="preserve">when </w:t>
      </w:r>
      <w:r w:rsidR="002118CA">
        <w:t xml:space="preserve">such </w:t>
      </w:r>
      <w:r w:rsidR="00577441">
        <w:lastRenderedPageBreak/>
        <w:t xml:space="preserve">data </w:t>
      </w:r>
      <w:r w:rsidR="002118CA">
        <w:t xml:space="preserve">is </w:t>
      </w:r>
      <w:r w:rsidR="00577441">
        <w:t xml:space="preserve">processed or maintained: </w:t>
      </w:r>
      <w:r w:rsidR="00577441">
        <w:br/>
      </w:r>
      <w:r w:rsidR="00577441">
        <w:br/>
        <w:t xml:space="preserve">(A) In the course of an individual applying to, being employed by, or acting as an agent or independent contractor of a controller, processor, or third party, to the extent that the data is collected and used within the context of that role; </w:t>
      </w:r>
      <w:r w:rsidR="00577441">
        <w:br/>
      </w:r>
      <w:r w:rsidR="00577441">
        <w:br/>
        <w:t xml:space="preserve">(B) As the emergency contact information of an individual under this part used for emergency contact purposes; or </w:t>
      </w:r>
      <w:r w:rsidR="00577441">
        <w:br/>
      </w:r>
      <w:r w:rsidR="00577441">
        <w:br/>
        <w:t xml:space="preserve">(C) That is necessary to retain to administer benefits for another individual relating to the </w:t>
      </w:r>
      <w:r w:rsidR="002C4B38">
        <w:t>employee (or agent)</w:t>
      </w:r>
      <w:r w:rsidR="00577441">
        <w:t xml:space="preserve"> and used for the purposes of administering those benefits</w:t>
      </w:r>
      <w:r w:rsidR="00DC0C50">
        <w:t>.</w:t>
      </w:r>
    </w:p>
    <w:p w14:paraId="764F7834" w14:textId="25B980A1" w:rsidR="004F1964" w:rsidRDefault="002118CA" w:rsidP="00BF3D59">
      <w:r>
        <w:t>Indeed, a</w:t>
      </w:r>
      <w:r w:rsidR="004F1964">
        <w:t xml:space="preserve"> last-minute amendment to the Tennessee legislation provided that, </w:t>
      </w:r>
      <w:r w:rsidR="004514B5">
        <w:t>“a natural person acting in a commercial or employment context is not a consumer for purposes of this bill.</w:t>
      </w:r>
      <w:r w:rsidR="00BF5DF3">
        <w:t>”</w:t>
      </w:r>
      <w:r>
        <w:t xml:space="preserve">  </w:t>
      </w:r>
    </w:p>
    <w:p w14:paraId="1F6AE325" w14:textId="1423CA53" w:rsidR="00BA369A" w:rsidRPr="00BF5DF3" w:rsidRDefault="00BA369A" w:rsidP="00BF3D59">
      <w:r>
        <w:t xml:space="preserve">NOTE:  Under the California Privacy Reform Act, which went into effect on January 1, 2023, </w:t>
      </w:r>
      <w:r w:rsidR="001442AF">
        <w:t>business contact information and employment information are now</w:t>
      </w:r>
      <w:r w:rsidR="00932425">
        <w:t xml:space="preserve"> considered "personal information."</w:t>
      </w:r>
      <w:r w:rsidR="001442AF">
        <w:t xml:space="preserve"> </w:t>
      </w:r>
    </w:p>
    <w:p w14:paraId="3DC8B17F" w14:textId="36C6774B" w:rsidR="00B144DA" w:rsidRDefault="00B144DA" w:rsidP="00641DBB">
      <w:pPr>
        <w:spacing w:after="0"/>
        <w:rPr>
          <w:u w:val="single"/>
        </w:rPr>
      </w:pPr>
      <w:r>
        <w:rPr>
          <w:u w:val="single"/>
        </w:rPr>
        <w:t>Definition of Wh</w:t>
      </w:r>
      <w:r w:rsidR="00DB2590">
        <w:rPr>
          <w:u w:val="single"/>
        </w:rPr>
        <w:t>en a</w:t>
      </w:r>
      <w:r w:rsidR="00420962">
        <w:rPr>
          <w:u w:val="single"/>
        </w:rPr>
        <w:t xml:space="preserve"> Business</w:t>
      </w:r>
      <w:r w:rsidR="00641DBB">
        <w:rPr>
          <w:u w:val="single"/>
        </w:rPr>
        <w:t xml:space="preserve"> </w:t>
      </w:r>
      <w:r>
        <w:rPr>
          <w:u w:val="single"/>
        </w:rPr>
        <w:t>is Covered:</w:t>
      </w:r>
    </w:p>
    <w:p w14:paraId="680098C8" w14:textId="77777777" w:rsidR="008E6B2F" w:rsidRDefault="008E6B2F" w:rsidP="00641DBB">
      <w:pPr>
        <w:spacing w:after="0"/>
        <w:rPr>
          <w:u w:val="single"/>
        </w:rPr>
      </w:pPr>
    </w:p>
    <w:p w14:paraId="57EAE064" w14:textId="2F885AEB" w:rsidR="008E6B2F" w:rsidRPr="008E6B2F" w:rsidRDefault="008E6B2F" w:rsidP="00641DBB">
      <w:pPr>
        <w:spacing w:after="0"/>
      </w:pPr>
      <w:r>
        <w:t xml:space="preserve">A business is covered </w:t>
      </w:r>
      <w:r w:rsidR="00E3231C">
        <w:t xml:space="preserve">by the new consumer privacy laws </w:t>
      </w:r>
      <w:r>
        <w:t>when it processes:</w:t>
      </w:r>
    </w:p>
    <w:p w14:paraId="416C3676" w14:textId="77777777" w:rsidR="00E3231C" w:rsidRDefault="00E3231C" w:rsidP="00BF3D59">
      <w:pPr>
        <w:spacing w:after="0"/>
        <w:rPr>
          <w:u w:val="single"/>
        </w:rPr>
      </w:pPr>
    </w:p>
    <w:p w14:paraId="59E30C66" w14:textId="1D14C8E8" w:rsidR="00AE5464" w:rsidRPr="00320C73" w:rsidRDefault="00AE5464" w:rsidP="00BF3D59">
      <w:pPr>
        <w:spacing w:after="0"/>
        <w:rPr>
          <w:i/>
          <w:iCs/>
        </w:rPr>
      </w:pPr>
      <w:r w:rsidRPr="00BF3D59">
        <w:rPr>
          <w:u w:val="single"/>
        </w:rPr>
        <w:t>Iowa</w:t>
      </w:r>
      <w:r>
        <w:t>:</w:t>
      </w:r>
      <w:r w:rsidR="00374C36">
        <w:t xml:space="preserve"> </w:t>
      </w:r>
      <w:r w:rsidR="001C153D">
        <w:t xml:space="preserve">100,000 Iowa consumers during a calendar year, or </w:t>
      </w:r>
      <w:r w:rsidR="00CD56D3">
        <w:t>entities</w:t>
      </w:r>
      <w:r w:rsidR="008D59D7">
        <w:t xml:space="preserve"> that</w:t>
      </w:r>
      <w:r w:rsidR="0033160F">
        <w:t xml:space="preserve"> control or process the data of at least 25,000 Iowa consumers and</w:t>
      </w:r>
      <w:r w:rsidR="008D59D7">
        <w:t xml:space="preserve"> derive 50% of gross revenue from </w:t>
      </w:r>
      <w:r w:rsidR="00EF76D1">
        <w:t xml:space="preserve">the </w:t>
      </w:r>
      <w:r w:rsidR="008D59D7">
        <w:t xml:space="preserve">sale of personal data. </w:t>
      </w:r>
      <w:r w:rsidR="000C194B">
        <w:rPr>
          <w:i/>
          <w:iCs/>
        </w:rPr>
        <w:t xml:space="preserve">There is no revenue threshold. </w:t>
      </w:r>
    </w:p>
    <w:p w14:paraId="0327811C" w14:textId="77777777" w:rsidR="008D59D7" w:rsidRDefault="008D59D7" w:rsidP="00227349">
      <w:pPr>
        <w:spacing w:after="0"/>
        <w:contextualSpacing/>
      </w:pPr>
    </w:p>
    <w:p w14:paraId="3E5BACCB" w14:textId="2B9ACEC5" w:rsidR="00E73DD8" w:rsidRDefault="00AE5464" w:rsidP="00E73DD8">
      <w:pPr>
        <w:spacing w:after="0"/>
      </w:pPr>
      <w:r w:rsidRPr="00BF3D59">
        <w:rPr>
          <w:u w:val="single"/>
        </w:rPr>
        <w:t>Indiana</w:t>
      </w:r>
      <w:r>
        <w:t xml:space="preserve">: </w:t>
      </w:r>
      <w:r w:rsidR="00E73DD8">
        <w:t xml:space="preserve">100,000 Indiana consumers during a calendar </w:t>
      </w:r>
      <w:r w:rsidR="00702FB7">
        <w:t xml:space="preserve">year, or </w:t>
      </w:r>
      <w:r w:rsidR="00CD56D3">
        <w:t>entities</w:t>
      </w:r>
      <w:r w:rsidR="00702FB7">
        <w:t xml:space="preserve"> </w:t>
      </w:r>
      <w:r w:rsidR="00EF76D1">
        <w:t xml:space="preserve">that </w:t>
      </w:r>
      <w:r w:rsidR="0033160F">
        <w:t>control or process the data of at least 25,000 Indiana consumers and derive 50% of gross revenue from the sale of personal data.</w:t>
      </w:r>
      <w:r w:rsidR="00696239">
        <w:t xml:space="preserve"> </w:t>
      </w:r>
      <w:r w:rsidR="005D1667" w:rsidRPr="005D1667">
        <w:rPr>
          <w:i/>
          <w:iCs/>
        </w:rPr>
        <w:t>There is no revenue threshold.</w:t>
      </w:r>
      <w:r w:rsidR="005D1667">
        <w:t xml:space="preserve"> </w:t>
      </w:r>
    </w:p>
    <w:p w14:paraId="39C6D137" w14:textId="77777777" w:rsidR="00580EF8" w:rsidRDefault="00580EF8" w:rsidP="00BF3D59">
      <w:pPr>
        <w:spacing w:after="0"/>
      </w:pPr>
    </w:p>
    <w:p w14:paraId="0B245217" w14:textId="4D21E1D6" w:rsidR="00580EF8" w:rsidRPr="00696239" w:rsidRDefault="00AE5464" w:rsidP="00580EF8">
      <w:pPr>
        <w:spacing w:after="0"/>
        <w:rPr>
          <w:i/>
          <w:iCs/>
        </w:rPr>
      </w:pPr>
      <w:r w:rsidRPr="00BF3D59">
        <w:rPr>
          <w:u w:val="single"/>
        </w:rPr>
        <w:t>Montana</w:t>
      </w:r>
      <w:r>
        <w:t>:</w:t>
      </w:r>
      <w:r w:rsidR="00580EF8">
        <w:t xml:space="preserve"> 50,000 Montana consumers</w:t>
      </w:r>
      <w:r w:rsidR="006F74C6">
        <w:t xml:space="preserve"> (no calendar year requirement)</w:t>
      </w:r>
      <w:r w:rsidR="00FF21FE">
        <w:t xml:space="preserve">, excluding personal data controlled or processed solely for the purpose of completing a payment transaction, </w:t>
      </w:r>
      <w:r w:rsidR="00CD56D3">
        <w:t xml:space="preserve">or entities that </w:t>
      </w:r>
      <w:r w:rsidR="000E5B61">
        <w:t xml:space="preserve">control or process the personal data of 25,000 consumers and derive more than 25% of gross revenue from the sale of personal data. </w:t>
      </w:r>
      <w:r w:rsidR="00696239" w:rsidRPr="00696239">
        <w:rPr>
          <w:i/>
          <w:iCs/>
        </w:rPr>
        <w:t xml:space="preserve">There is no revenue threshold. </w:t>
      </w:r>
    </w:p>
    <w:p w14:paraId="1A3F581F" w14:textId="77777777" w:rsidR="00580EF8" w:rsidRDefault="00580EF8" w:rsidP="00BF3D59">
      <w:pPr>
        <w:spacing w:after="0"/>
      </w:pPr>
    </w:p>
    <w:p w14:paraId="4315C810" w14:textId="1882A5C7" w:rsidR="00866520" w:rsidRDefault="00AE5464" w:rsidP="00BF3D59">
      <w:pPr>
        <w:spacing w:after="0"/>
      </w:pPr>
      <w:r w:rsidRPr="00BF3D59">
        <w:rPr>
          <w:u w:val="single"/>
        </w:rPr>
        <w:t>Tennessee</w:t>
      </w:r>
      <w:r>
        <w:t xml:space="preserve">: </w:t>
      </w:r>
      <w:r w:rsidR="00E1006B">
        <w:t xml:space="preserve">Companies that exceed $25 million in </w:t>
      </w:r>
      <w:r w:rsidR="007B5CD0">
        <w:t xml:space="preserve">revenue </w:t>
      </w:r>
      <w:r w:rsidR="00F55B9B">
        <w:t xml:space="preserve">and </w:t>
      </w:r>
      <w:r w:rsidR="00292908">
        <w:t xml:space="preserve">control or process </w:t>
      </w:r>
      <w:r w:rsidR="00F55B9B">
        <w:t xml:space="preserve">either </w:t>
      </w:r>
      <w:r w:rsidR="00EB131A">
        <w:t>1</w:t>
      </w:r>
      <w:r w:rsidR="00C54522">
        <w:t>75</w:t>
      </w:r>
      <w:r w:rsidR="00EB131A">
        <w:t>,000</w:t>
      </w:r>
      <w:r w:rsidR="00C31492">
        <w:t xml:space="preserve"> Tennessee consumers during a calendar year or control or process personal information of at least 25,000 consumers and derive more than 50% </w:t>
      </w:r>
      <w:r w:rsidR="00C24E2F">
        <w:t xml:space="preserve">of gross revenue from the sale of personal information. </w:t>
      </w:r>
    </w:p>
    <w:p w14:paraId="58A941FE" w14:textId="77777777" w:rsidR="000F1666" w:rsidRDefault="000F1666" w:rsidP="00BF3D59">
      <w:pPr>
        <w:spacing w:after="0"/>
      </w:pPr>
    </w:p>
    <w:p w14:paraId="564613C7" w14:textId="280FB811" w:rsidR="00961CB6" w:rsidRPr="00961CB6" w:rsidRDefault="00961CB6" w:rsidP="00BF3D59">
      <w:pPr>
        <w:spacing w:after="0"/>
        <w:rPr>
          <w:sz w:val="28"/>
          <w:szCs w:val="28"/>
        </w:rPr>
      </w:pPr>
      <w:r w:rsidRPr="00961CB6">
        <w:rPr>
          <w:sz w:val="28"/>
          <w:szCs w:val="28"/>
        </w:rPr>
        <w:t>Consumer Data Rights</w:t>
      </w:r>
    </w:p>
    <w:p w14:paraId="23532919" w14:textId="77777777" w:rsidR="00BF3D59" w:rsidRDefault="00BF3D59" w:rsidP="00BF3D59">
      <w:pPr>
        <w:spacing w:after="0"/>
      </w:pPr>
    </w:p>
    <w:p w14:paraId="08410B12" w14:textId="20D3591A" w:rsidR="00E3231C" w:rsidRDefault="00C1452F" w:rsidP="00BF3D59">
      <w:pPr>
        <w:spacing w:after="0"/>
      </w:pPr>
      <w:r>
        <w:t>Under each of the new privacy laws, a covered business must give notice to consumers about the categories of data it processes, the purpose</w:t>
      </w:r>
      <w:r w:rsidR="00C81EDA">
        <w:t>(s)</w:t>
      </w:r>
      <w:r w:rsidR="0015527E">
        <w:t xml:space="preserve"> for processing</w:t>
      </w:r>
      <w:r>
        <w:t xml:space="preserve">, categories of data being sold or shared, and provide consumers with information about exercising their consumer rights. </w:t>
      </w:r>
      <w:r w:rsidR="00E3231C">
        <w:t>A list of a consumer’s rights for each state follow:</w:t>
      </w:r>
    </w:p>
    <w:p w14:paraId="30860303" w14:textId="77777777" w:rsidR="00E3231C" w:rsidRDefault="00E3231C" w:rsidP="00BF3D59">
      <w:pPr>
        <w:spacing w:after="0"/>
      </w:pPr>
    </w:p>
    <w:p w14:paraId="47A2824B" w14:textId="7ECB83B4" w:rsidR="002C6D3B" w:rsidRDefault="00AC0895" w:rsidP="001F2841">
      <w:pPr>
        <w:spacing w:after="0"/>
      </w:pPr>
      <w:r w:rsidRPr="002C6D3B">
        <w:rPr>
          <w:u w:val="single"/>
        </w:rPr>
        <w:t>Iowa</w:t>
      </w:r>
      <w:r w:rsidRPr="007F742F">
        <w:t>:</w:t>
      </w:r>
      <w:r>
        <w:t xml:space="preserve"> </w:t>
      </w:r>
      <w:r w:rsidR="001F2841">
        <w:t xml:space="preserve">Right to access, right to delete, right to data portability, and right to opt out of sale of personal data. </w:t>
      </w:r>
      <w:r w:rsidR="002C6D3B" w:rsidRPr="002C6D3B">
        <w:t xml:space="preserve">Iowa does </w:t>
      </w:r>
      <w:r w:rsidR="002C6D3B" w:rsidRPr="001F2841">
        <w:rPr>
          <w:b/>
          <w:bCs/>
        </w:rPr>
        <w:t>not</w:t>
      </w:r>
      <w:r w:rsidR="002C6D3B" w:rsidRPr="002C6D3B">
        <w:t xml:space="preserve"> grant consumers the right to correct their personal data or opt out of the processing of their personal data for purposes of profiling</w:t>
      </w:r>
      <w:r w:rsidR="002C6D3B">
        <w:t xml:space="preserve">. The law </w:t>
      </w:r>
      <w:r w:rsidR="00466805">
        <w:t xml:space="preserve">only </w:t>
      </w:r>
      <w:r w:rsidR="002C6D3B" w:rsidRPr="002C6D3B">
        <w:t>grants consumers the right to opt</w:t>
      </w:r>
      <w:r w:rsidR="00466805">
        <w:t xml:space="preserve"> </w:t>
      </w:r>
      <w:r w:rsidR="002C6D3B" w:rsidRPr="002C6D3B">
        <w:t>out of</w:t>
      </w:r>
      <w:r w:rsidR="002C6D3B">
        <w:t xml:space="preserve"> </w:t>
      </w:r>
      <w:r w:rsidR="002C6D3B" w:rsidRPr="002C6D3B">
        <w:t>the processing of their sensitive personal data</w:t>
      </w:r>
      <w:r w:rsidR="00466805">
        <w:t xml:space="preserve">. </w:t>
      </w:r>
    </w:p>
    <w:p w14:paraId="325B3CF3" w14:textId="77777777" w:rsidR="00800E92" w:rsidRDefault="00800E92" w:rsidP="001F2841">
      <w:pPr>
        <w:spacing w:after="0"/>
      </w:pPr>
    </w:p>
    <w:p w14:paraId="759B3974" w14:textId="294A982B" w:rsidR="00800E92" w:rsidRDefault="0008751D" w:rsidP="001F2841">
      <w:pPr>
        <w:spacing w:after="0"/>
      </w:pPr>
      <w:r>
        <w:t>The Iowa law r</w:t>
      </w:r>
      <w:r w:rsidR="00800E92">
        <w:t xml:space="preserve">equires </w:t>
      </w:r>
      <w:r w:rsidR="00800E92" w:rsidRPr="00800E92">
        <w:t xml:space="preserve">controllers </w:t>
      </w:r>
      <w:r>
        <w:t>who</w:t>
      </w:r>
      <w:r w:rsidR="00800E92" w:rsidRPr="00800E92">
        <w:t xml:space="preserve"> engage in targeted advertising to "clearly and conspicuously disclose such activity, as well as the manner in which a consumer may exercise the right to opt out of such activity</w:t>
      </w:r>
      <w:r>
        <w:t>.</w:t>
      </w:r>
      <w:r w:rsidR="00800E92">
        <w:t>”</w:t>
      </w:r>
    </w:p>
    <w:p w14:paraId="7F3E825E" w14:textId="77777777" w:rsidR="007F742F" w:rsidRDefault="007F742F" w:rsidP="00BF3D59">
      <w:pPr>
        <w:spacing w:after="0"/>
      </w:pPr>
    </w:p>
    <w:p w14:paraId="06575208" w14:textId="0BA37E41" w:rsidR="007F742F" w:rsidRDefault="007F742F" w:rsidP="00BF3D59">
      <w:pPr>
        <w:spacing w:after="0"/>
      </w:pPr>
      <w:r w:rsidRPr="007F742F">
        <w:rPr>
          <w:u w:val="single"/>
        </w:rPr>
        <w:t>Indiana</w:t>
      </w:r>
      <w:r>
        <w:t xml:space="preserve">: </w:t>
      </w:r>
      <w:r w:rsidR="00A87F19">
        <w:t xml:space="preserve">Right to </w:t>
      </w:r>
      <w:r w:rsidR="00E00FEC">
        <w:t xml:space="preserve">access, right to correct, right to delete, right to data portability, </w:t>
      </w:r>
      <w:r w:rsidR="00002C3A">
        <w:t>right to opt out of the processing of personal data for purposes of (</w:t>
      </w:r>
      <w:r w:rsidR="009A08FC">
        <w:t>1</w:t>
      </w:r>
      <w:r w:rsidR="005B3AC1">
        <w:t>) targeted advertising (</w:t>
      </w:r>
      <w:r w:rsidR="009A08FC">
        <w:t>2)</w:t>
      </w:r>
      <w:r w:rsidR="005B3AC1">
        <w:t xml:space="preserve"> sale of personal data; and (</w:t>
      </w:r>
      <w:r w:rsidR="009A08FC">
        <w:t xml:space="preserve">3) profiling. </w:t>
      </w:r>
      <w:r w:rsidR="00E52A3B">
        <w:t xml:space="preserve">Sensitive data processing requires opt-in consent. </w:t>
      </w:r>
    </w:p>
    <w:p w14:paraId="14BFD8F0" w14:textId="77777777" w:rsidR="007215C4" w:rsidRDefault="007215C4" w:rsidP="00BF3D59">
      <w:pPr>
        <w:spacing w:after="0"/>
      </w:pPr>
    </w:p>
    <w:p w14:paraId="2E168CD9" w14:textId="0B157754" w:rsidR="007F742F" w:rsidRDefault="007F742F" w:rsidP="00BF3D59">
      <w:pPr>
        <w:spacing w:after="0"/>
      </w:pPr>
      <w:r w:rsidRPr="007F742F">
        <w:rPr>
          <w:u w:val="single"/>
        </w:rPr>
        <w:t>Montana</w:t>
      </w:r>
      <w:r>
        <w:t xml:space="preserve">: </w:t>
      </w:r>
      <w:r w:rsidR="000773B3">
        <w:t xml:space="preserve">Right to access, </w:t>
      </w:r>
      <w:r w:rsidR="00740188">
        <w:t xml:space="preserve">right to correct, right to delete, right to data portability, right to right to opt out of the processing of personal data for purposes of (1) targeted advertising (2) sale of personal data; and (3) profiling. </w:t>
      </w:r>
      <w:r w:rsidR="00740188" w:rsidRPr="00F65E2C">
        <w:t>Sensitive data processing requires opt-in consent.</w:t>
      </w:r>
    </w:p>
    <w:p w14:paraId="4C57BC46" w14:textId="77777777" w:rsidR="007215C4" w:rsidRDefault="007215C4" w:rsidP="00BF3D59">
      <w:pPr>
        <w:spacing w:after="0"/>
      </w:pPr>
    </w:p>
    <w:p w14:paraId="5FD75D93" w14:textId="267DC8C3" w:rsidR="00F703D6" w:rsidRDefault="007F742F" w:rsidP="00CD5348">
      <w:pPr>
        <w:spacing w:after="0"/>
      </w:pPr>
      <w:r w:rsidRPr="007F742F">
        <w:rPr>
          <w:u w:val="single"/>
        </w:rPr>
        <w:t>Tennessee</w:t>
      </w:r>
      <w:r>
        <w:t xml:space="preserve">: </w:t>
      </w:r>
      <w:r w:rsidR="002466F9">
        <w:t>Right to access, right to correct, right to delete, right to data portability,</w:t>
      </w:r>
      <w:r w:rsidR="00F703D6">
        <w:t xml:space="preserve"> and right to opt out of a controller’s selling personal information about the consumer. </w:t>
      </w:r>
      <w:r w:rsidR="008B513C">
        <w:t>Sensitive data processing requires opt-in consent.</w:t>
      </w:r>
    </w:p>
    <w:p w14:paraId="47955670" w14:textId="77777777" w:rsidR="00F703D6" w:rsidRDefault="00F703D6" w:rsidP="00CD5348">
      <w:pPr>
        <w:spacing w:after="0"/>
      </w:pPr>
    </w:p>
    <w:p w14:paraId="1623050F" w14:textId="0ECBAA78" w:rsidR="00CD5348" w:rsidRDefault="00F703D6" w:rsidP="00CD5348">
      <w:pPr>
        <w:spacing w:after="0"/>
      </w:pPr>
      <w:r>
        <w:t>The Tennessee law also includes an additional consumer</w:t>
      </w:r>
      <w:r w:rsidR="002466F9">
        <w:t xml:space="preserve"> </w:t>
      </w:r>
      <w:r w:rsidR="00CD5348">
        <w:t xml:space="preserve">right to request that a controller </w:t>
      </w:r>
      <w:r w:rsidR="00943305">
        <w:t>who</w:t>
      </w:r>
      <w:r w:rsidR="00CD5348">
        <w:t xml:space="preserve"> sold personal information about the consumer, or disclosed the information for a business purpose, to disclose to the consumer: (</w:t>
      </w:r>
      <w:proofErr w:type="spellStart"/>
      <w:r w:rsidR="00CD5348">
        <w:t>i</w:t>
      </w:r>
      <w:proofErr w:type="spellEnd"/>
      <w:r w:rsidR="00CD5348">
        <w:t xml:space="preserve">) </w:t>
      </w:r>
      <w:r>
        <w:t>t</w:t>
      </w:r>
      <w:r w:rsidR="00CD5348">
        <w:t>he categories of personal information about the</w:t>
      </w:r>
      <w:r>
        <w:t xml:space="preserve"> </w:t>
      </w:r>
      <w:r w:rsidR="00CD5348">
        <w:t xml:space="preserve">consumer the business sold; (ii) </w:t>
      </w:r>
      <w:r>
        <w:t>t</w:t>
      </w:r>
      <w:r w:rsidR="00CD5348">
        <w:t xml:space="preserve">he categories of third parties to which the personal information about the consumer was sold by category of personal information for each category of third parties to which the personal information was sold; and (iii) </w:t>
      </w:r>
      <w:r>
        <w:t>t</w:t>
      </w:r>
      <w:r w:rsidR="00CD5348">
        <w:t>he categories of personal information about the</w:t>
      </w:r>
      <w:r>
        <w:t xml:space="preserve"> </w:t>
      </w:r>
      <w:r w:rsidR="00CD5348">
        <w:t>consumer that the business disclosed for a business purpose</w:t>
      </w:r>
      <w:r>
        <w:t xml:space="preserve">. </w:t>
      </w:r>
    </w:p>
    <w:p w14:paraId="0978D4A8" w14:textId="77777777" w:rsidR="00C46AB0" w:rsidRDefault="00C46AB0" w:rsidP="00BF3D59">
      <w:pPr>
        <w:spacing w:after="0"/>
      </w:pPr>
    </w:p>
    <w:p w14:paraId="745FA096" w14:textId="0E263EFF" w:rsidR="00BF3D59" w:rsidRDefault="00BF3D59" w:rsidP="00BF3D59">
      <w:pPr>
        <w:rPr>
          <w:sz w:val="28"/>
          <w:szCs w:val="28"/>
        </w:rPr>
      </w:pPr>
      <w:r w:rsidRPr="00BF3D59">
        <w:rPr>
          <w:sz w:val="28"/>
          <w:szCs w:val="28"/>
        </w:rPr>
        <w:t>Data Protection Assessments</w:t>
      </w:r>
    </w:p>
    <w:p w14:paraId="6F7BBDFF" w14:textId="7DE37EC2" w:rsidR="00BB423E" w:rsidRPr="00BF3D59" w:rsidRDefault="000F6F94" w:rsidP="00BF3D59">
      <w:pPr>
        <w:rPr>
          <w:sz w:val="28"/>
          <w:szCs w:val="28"/>
        </w:rPr>
      </w:pPr>
      <w:r>
        <w:t>Provisions related to whether</w:t>
      </w:r>
      <w:r w:rsidR="00BB423E">
        <w:t xml:space="preserve"> a controller will need </w:t>
      </w:r>
      <w:r w:rsidR="00CA2764">
        <w:t xml:space="preserve">to </w:t>
      </w:r>
      <w:r w:rsidR="007043CC">
        <w:t>conduct</w:t>
      </w:r>
      <w:r w:rsidR="00BB423E">
        <w:t xml:space="preserve"> </w:t>
      </w:r>
      <w:r w:rsidR="00CA2764">
        <w:t xml:space="preserve">a data </w:t>
      </w:r>
      <w:r w:rsidR="00BB423E">
        <w:t xml:space="preserve">impact assessment </w:t>
      </w:r>
      <w:r w:rsidR="00010D52">
        <w:t xml:space="preserve">(“DPA”) </w:t>
      </w:r>
      <w:r w:rsidR="00BB423E">
        <w:rPr>
          <w:rStyle w:val="Emphasis"/>
        </w:rPr>
        <w:t>before</w:t>
      </w:r>
      <w:r w:rsidR="00BB423E">
        <w:t xml:space="preserve"> </w:t>
      </w:r>
      <w:r w:rsidR="007043CC">
        <w:t>it</w:t>
      </w:r>
      <w:r w:rsidR="00BB423E">
        <w:t xml:space="preserve"> engage</w:t>
      </w:r>
      <w:r w:rsidR="007043CC">
        <w:t>s</w:t>
      </w:r>
      <w:r w:rsidR="00BB423E">
        <w:t xml:space="preserve"> </w:t>
      </w:r>
      <w:r w:rsidR="00500614">
        <w:t xml:space="preserve">in </w:t>
      </w:r>
      <w:r w:rsidR="00BB423E">
        <w:t>processing activities</w:t>
      </w:r>
      <w:r w:rsidR="00786D31">
        <w:t>?</w:t>
      </w:r>
    </w:p>
    <w:p w14:paraId="38593099" w14:textId="41FC3E00" w:rsidR="00BF3D59" w:rsidRDefault="00BF3D59" w:rsidP="00BF3D59">
      <w:pPr>
        <w:spacing w:after="0"/>
      </w:pPr>
      <w:r w:rsidRPr="00BF3D59">
        <w:rPr>
          <w:u w:val="single"/>
        </w:rPr>
        <w:t>Iowa</w:t>
      </w:r>
      <w:r>
        <w:t xml:space="preserve">: </w:t>
      </w:r>
      <w:r w:rsidR="00431AB1">
        <w:t xml:space="preserve">Preparation of a </w:t>
      </w:r>
      <w:r w:rsidR="00D81ED2">
        <w:t>DP</w:t>
      </w:r>
      <w:r w:rsidR="00431AB1">
        <w:t>A</w:t>
      </w:r>
      <w:r w:rsidR="00D81ED2">
        <w:t xml:space="preserve"> </w:t>
      </w:r>
      <w:r w:rsidR="00431AB1">
        <w:t>is</w:t>
      </w:r>
      <w:r w:rsidR="00D81ED2">
        <w:t xml:space="preserve"> </w:t>
      </w:r>
      <w:r w:rsidR="00D81ED2" w:rsidRPr="00D81ED2">
        <w:rPr>
          <w:b/>
          <w:bCs/>
        </w:rPr>
        <w:t>not</w:t>
      </w:r>
      <w:r w:rsidR="00D81ED2">
        <w:t xml:space="preserve"> required under the Iowa law. </w:t>
      </w:r>
    </w:p>
    <w:p w14:paraId="566FB7EE" w14:textId="77777777" w:rsidR="000E16F3" w:rsidRDefault="000E16F3" w:rsidP="00BF3D59">
      <w:pPr>
        <w:spacing w:after="0"/>
      </w:pPr>
    </w:p>
    <w:p w14:paraId="50AA3339" w14:textId="6208E4F7" w:rsidR="00BF3D59" w:rsidRDefault="00BF3D59" w:rsidP="00BF3D59">
      <w:pPr>
        <w:spacing w:after="0"/>
      </w:pPr>
      <w:r w:rsidRPr="00BF3D59">
        <w:rPr>
          <w:u w:val="single"/>
        </w:rPr>
        <w:t>Indiana</w:t>
      </w:r>
      <w:r>
        <w:t xml:space="preserve">: </w:t>
      </w:r>
      <w:r w:rsidR="00431AB1">
        <w:t xml:space="preserve">A </w:t>
      </w:r>
      <w:r w:rsidR="001D7145">
        <w:t xml:space="preserve">DPA </w:t>
      </w:r>
      <w:r w:rsidR="00431AB1">
        <w:t xml:space="preserve">is </w:t>
      </w:r>
      <w:r w:rsidR="001D7145">
        <w:t xml:space="preserve">required </w:t>
      </w:r>
      <w:r w:rsidR="0082715B">
        <w:t>when (1)</w:t>
      </w:r>
      <w:r w:rsidR="001807BC">
        <w:t xml:space="preserve"> the personal data is processed for targeted advertising, (2) there is a sale of personal data, </w:t>
      </w:r>
      <w:r w:rsidR="009B1D13">
        <w:t xml:space="preserve">(3) </w:t>
      </w:r>
      <w:r w:rsidR="001807BC">
        <w:t xml:space="preserve">the </w:t>
      </w:r>
      <w:r w:rsidR="0029139B">
        <w:t xml:space="preserve">personal data is used for profiling and there is a reasonably foreseeable risk of harm (4 harms listed), </w:t>
      </w:r>
      <w:r w:rsidR="00792D63">
        <w:t>(</w:t>
      </w:r>
      <w:r w:rsidR="009B1D13">
        <w:t>4</w:t>
      </w:r>
      <w:r w:rsidR="00792D63">
        <w:t xml:space="preserve">) sensitive data </w:t>
      </w:r>
      <w:r w:rsidR="00377BBA">
        <w:t xml:space="preserve">(which includes biometric information) </w:t>
      </w:r>
      <w:r w:rsidR="00792D63">
        <w:t xml:space="preserve">is processed, </w:t>
      </w:r>
      <w:r w:rsidR="00052867">
        <w:t xml:space="preserve">and </w:t>
      </w:r>
      <w:r w:rsidR="00792D63">
        <w:t>(</w:t>
      </w:r>
      <w:r w:rsidR="009B1D13">
        <w:t>5</w:t>
      </w:r>
      <w:r w:rsidR="00792D63">
        <w:t>)</w:t>
      </w:r>
      <w:r w:rsidR="009B1D13">
        <w:t xml:space="preserve"> </w:t>
      </w:r>
      <w:r w:rsidR="00052867">
        <w:t xml:space="preserve">when any processing activities involving personal data present a heightened risk of harm to consumers. </w:t>
      </w:r>
    </w:p>
    <w:p w14:paraId="2180D16D" w14:textId="77777777" w:rsidR="00504AA7" w:rsidRDefault="00504AA7" w:rsidP="00BF3D59">
      <w:pPr>
        <w:spacing w:after="0"/>
      </w:pPr>
    </w:p>
    <w:p w14:paraId="6CE8FAC8" w14:textId="221BB868" w:rsidR="00052867" w:rsidRDefault="009C6F3D" w:rsidP="003502C7">
      <w:pPr>
        <w:spacing w:after="0"/>
      </w:pPr>
      <w:r>
        <w:t>T</w:t>
      </w:r>
      <w:r w:rsidR="00377BBA">
        <w:t xml:space="preserve">he Indiana law </w:t>
      </w:r>
      <w:r w:rsidR="00236310">
        <w:t>allows a controller</w:t>
      </w:r>
      <w:r w:rsidR="00377BBA">
        <w:t xml:space="preserve"> that a </w:t>
      </w:r>
      <w:r w:rsidR="00E64F81">
        <w:t>DPA</w:t>
      </w:r>
      <w:r w:rsidR="00504AA7">
        <w:t xml:space="preserve"> </w:t>
      </w:r>
      <w:r w:rsidR="00431AB1">
        <w:t>prepared</w:t>
      </w:r>
      <w:r w:rsidR="009011AE">
        <w:t xml:space="preserve"> for compliance with other data privacy laws may be used to comply if the</w:t>
      </w:r>
      <w:r w:rsidR="00856176">
        <w:t xml:space="preserve"> assessment has a reasonably comparable scope and effect. </w:t>
      </w:r>
      <w:r w:rsidR="003502C7">
        <w:t>The DPA requirement appl</w:t>
      </w:r>
      <w:r w:rsidR="002C2D76">
        <w:t>ies</w:t>
      </w:r>
      <w:r w:rsidR="003502C7">
        <w:t xml:space="preserve"> to processing activities created or</w:t>
      </w:r>
      <w:r w:rsidR="002C2D76">
        <w:t xml:space="preserve"> </w:t>
      </w:r>
      <w:r w:rsidR="003502C7">
        <w:t xml:space="preserve">generated after </w:t>
      </w:r>
      <w:r w:rsidR="003502C7" w:rsidRPr="002C2D76">
        <w:rPr>
          <w:b/>
          <w:bCs/>
        </w:rPr>
        <w:t>December 31, 2025</w:t>
      </w:r>
      <w:r w:rsidR="002C2D76">
        <w:t xml:space="preserve">. </w:t>
      </w:r>
    </w:p>
    <w:p w14:paraId="4E4ABD53" w14:textId="12EB33EF" w:rsidR="00856176" w:rsidRDefault="00856176" w:rsidP="00BF3D59">
      <w:pPr>
        <w:spacing w:after="0"/>
      </w:pPr>
    </w:p>
    <w:p w14:paraId="2C7C0326" w14:textId="2AF9AF28" w:rsidR="00BF3D59" w:rsidRDefault="00BF3D59" w:rsidP="00BF3D59">
      <w:pPr>
        <w:spacing w:after="0"/>
      </w:pPr>
      <w:r w:rsidRPr="00BF3D59">
        <w:rPr>
          <w:u w:val="single"/>
        </w:rPr>
        <w:t>Montana</w:t>
      </w:r>
      <w:r>
        <w:t>:</w:t>
      </w:r>
      <w:r w:rsidR="00585F16">
        <w:t xml:space="preserve"> </w:t>
      </w:r>
      <w:r w:rsidR="00431AB1">
        <w:t xml:space="preserve">A </w:t>
      </w:r>
      <w:r w:rsidR="00585F16">
        <w:t xml:space="preserve">DPA </w:t>
      </w:r>
      <w:r w:rsidR="00431AB1">
        <w:t>is</w:t>
      </w:r>
      <w:r w:rsidR="00585F16">
        <w:t xml:space="preserve"> required </w:t>
      </w:r>
      <w:r w:rsidR="006F476B">
        <w:t>for each of a controller’s processing activities that present a heightened risk of harm to a consumer. Processing that presents a heightened risk of harm to a consumer includes (</w:t>
      </w:r>
      <w:r w:rsidR="00EF10C5">
        <w:t>1</w:t>
      </w:r>
      <w:r w:rsidR="006F476B">
        <w:t>) the processing of personal data for purposes of targeted advertising (</w:t>
      </w:r>
      <w:r w:rsidR="00EF10C5">
        <w:t>2</w:t>
      </w:r>
      <w:r w:rsidR="006F476B">
        <w:t>) the sale of personal data (</w:t>
      </w:r>
      <w:r w:rsidR="00EF10C5">
        <w:t>3)</w:t>
      </w:r>
      <w:r w:rsidR="006F476B">
        <w:t xml:space="preserve"> </w:t>
      </w:r>
      <w:r w:rsidR="00EF10C5">
        <w:t xml:space="preserve">the personal data is used for profiling and there is a reasonably foreseeable risk of harm (4 harms </w:t>
      </w:r>
      <w:r w:rsidR="00DF5BFA">
        <w:t xml:space="preserve">listed), </w:t>
      </w:r>
      <w:r w:rsidR="00090C91">
        <w:t xml:space="preserve">and (4) </w:t>
      </w:r>
      <w:r w:rsidR="00D96110">
        <w:t xml:space="preserve">processing sensitive data. </w:t>
      </w:r>
    </w:p>
    <w:p w14:paraId="79E71093" w14:textId="77777777" w:rsidR="00E64F81" w:rsidRDefault="00E64F81" w:rsidP="00BF3D59">
      <w:pPr>
        <w:spacing w:after="0"/>
      </w:pPr>
    </w:p>
    <w:p w14:paraId="4AC0216C" w14:textId="191094DD" w:rsidR="00E64F81" w:rsidRDefault="00431AB1" w:rsidP="00E64F81">
      <w:pPr>
        <w:spacing w:after="0"/>
      </w:pPr>
      <w:r>
        <w:t xml:space="preserve">A </w:t>
      </w:r>
      <w:r w:rsidR="00E64F81">
        <w:t xml:space="preserve">DPA conducted for compliance with other data privacy laws may be used to comply if the assessment has a reasonably </w:t>
      </w:r>
      <w:r w:rsidR="007D29EE">
        <w:t>similar in</w:t>
      </w:r>
      <w:r w:rsidR="00E64F81">
        <w:t xml:space="preserve"> scope and effect. </w:t>
      </w:r>
      <w:r w:rsidR="007D29EE">
        <w:t>DPA</w:t>
      </w:r>
      <w:r w:rsidR="006E71CE">
        <w:t>s</w:t>
      </w:r>
      <w:r w:rsidR="007D29EE">
        <w:t xml:space="preserve"> </w:t>
      </w:r>
      <w:r w:rsidR="006E71CE">
        <w:t xml:space="preserve">must be </w:t>
      </w:r>
      <w:r w:rsidR="007D29EE">
        <w:t xml:space="preserve">created or generated after </w:t>
      </w:r>
      <w:r w:rsidR="007D29EE" w:rsidRPr="00C41868">
        <w:rPr>
          <w:b/>
          <w:bCs/>
        </w:rPr>
        <w:t xml:space="preserve">January 1, </w:t>
      </w:r>
      <w:proofErr w:type="gramStart"/>
      <w:r w:rsidR="007D29EE" w:rsidRPr="00C41868">
        <w:rPr>
          <w:b/>
          <w:bCs/>
        </w:rPr>
        <w:t>2025</w:t>
      </w:r>
      <w:proofErr w:type="gramEnd"/>
      <w:r w:rsidR="007D29EE">
        <w:t xml:space="preserve"> and are not retroactive. </w:t>
      </w:r>
    </w:p>
    <w:p w14:paraId="621D52C4" w14:textId="77777777" w:rsidR="00EF10C5" w:rsidRDefault="00EF10C5" w:rsidP="00BF3D59">
      <w:pPr>
        <w:spacing w:after="0"/>
      </w:pPr>
    </w:p>
    <w:p w14:paraId="21BC293D" w14:textId="0B96E799" w:rsidR="00BF3D59" w:rsidRDefault="00BF3D59" w:rsidP="00D6439F">
      <w:pPr>
        <w:spacing w:after="0"/>
      </w:pPr>
      <w:r w:rsidRPr="00BF3D59">
        <w:rPr>
          <w:u w:val="single"/>
        </w:rPr>
        <w:t>Tennessee</w:t>
      </w:r>
      <w:r>
        <w:t xml:space="preserve">: </w:t>
      </w:r>
      <w:r w:rsidR="00236310">
        <w:t xml:space="preserve">A </w:t>
      </w:r>
      <w:r w:rsidR="00D6439F">
        <w:t xml:space="preserve">DPA </w:t>
      </w:r>
      <w:r w:rsidR="00236310">
        <w:t>is</w:t>
      </w:r>
      <w:r w:rsidR="00D6439F">
        <w:t xml:space="preserve"> required when (1) the personal data is processed for targeted advertising, (2) there is a sale of personal data, (3) the personal data is used for profiling and there is a reasonably foreseeable risk of harm (4 harms listed), (4) sensitive data is processed, and (5) when any processing activities involving personal data present a heightened risk of harm to consumers.</w:t>
      </w:r>
    </w:p>
    <w:p w14:paraId="097372DC" w14:textId="77777777" w:rsidR="00D6439F" w:rsidRDefault="00D6439F" w:rsidP="00D6439F">
      <w:pPr>
        <w:spacing w:after="0"/>
      </w:pPr>
    </w:p>
    <w:p w14:paraId="3EB3F3A6" w14:textId="52D68744" w:rsidR="00576024" w:rsidRDefault="00576024" w:rsidP="00576024">
      <w:pPr>
        <w:spacing w:after="0"/>
      </w:pPr>
      <w:r>
        <w:t xml:space="preserve">DPAs must identify and weigh the benefits that may flow, directly and indirectly, from the </w:t>
      </w:r>
      <w:proofErr w:type="gramStart"/>
      <w:r>
        <w:t>processing</w:t>
      </w:r>
      <w:proofErr w:type="gramEnd"/>
    </w:p>
    <w:p w14:paraId="1D537CDC" w14:textId="41AE9ABB" w:rsidR="00576024" w:rsidRDefault="00FC0269" w:rsidP="00576024">
      <w:pPr>
        <w:spacing w:after="0"/>
      </w:pPr>
      <w:r>
        <w:t>for</w:t>
      </w:r>
      <w:r w:rsidR="00576024">
        <w:t xml:space="preserve"> </w:t>
      </w:r>
      <w:r w:rsidR="005516B6">
        <w:t xml:space="preserve">each of </w:t>
      </w:r>
      <w:r w:rsidR="00576024">
        <w:t>the controller, the consumer, other stakeholders, and the public against the potential risks to the rights of the consumer associated with the processing, as mitigated by safeguards that can be employed by the controller to reduce the risks.</w:t>
      </w:r>
    </w:p>
    <w:p w14:paraId="3A59941A" w14:textId="77777777" w:rsidR="000927DB" w:rsidRDefault="000927DB" w:rsidP="000927DB">
      <w:pPr>
        <w:spacing w:after="0"/>
      </w:pPr>
    </w:p>
    <w:p w14:paraId="60A91BF1" w14:textId="497FC69C" w:rsidR="000927DB" w:rsidRDefault="00966712" w:rsidP="000927DB">
      <w:pPr>
        <w:spacing w:after="0"/>
      </w:pPr>
      <w:r>
        <w:t>A DPA</w:t>
      </w:r>
      <w:r w:rsidR="000927DB">
        <w:t xml:space="preserve"> conducted by a controller for the purpose of compliance with other laws, rules, or regulations may </w:t>
      </w:r>
      <w:r w:rsidR="009C6F3D">
        <w:t xml:space="preserve">be used to </w:t>
      </w:r>
      <w:r w:rsidR="000927DB">
        <w:t>comply with this section if the</w:t>
      </w:r>
      <w:r w:rsidR="007555B8">
        <w:t xml:space="preserve"> </w:t>
      </w:r>
      <w:r w:rsidR="000927DB">
        <w:t>assessments have a reasonably comparable scope and effect</w:t>
      </w:r>
      <w:r w:rsidR="00C95D67">
        <w:t>. DP</w:t>
      </w:r>
      <w:r w:rsidR="00593BB1">
        <w:t>A</w:t>
      </w:r>
      <w:r w:rsidR="00C95D67">
        <w:t xml:space="preserve">s apply to processing activities created or generated after </w:t>
      </w:r>
      <w:r w:rsidR="00C95D67" w:rsidRPr="00C41868">
        <w:rPr>
          <w:b/>
          <w:bCs/>
        </w:rPr>
        <w:t>July 1, 2024</w:t>
      </w:r>
      <w:r>
        <w:rPr>
          <w:b/>
          <w:bCs/>
        </w:rPr>
        <w:t>,</w:t>
      </w:r>
      <w:r w:rsidR="00C95D67">
        <w:t xml:space="preserve"> and are not retroactive. </w:t>
      </w:r>
    </w:p>
    <w:p w14:paraId="7386F17E" w14:textId="77777777" w:rsidR="00576024" w:rsidRDefault="00576024" w:rsidP="00576024">
      <w:pPr>
        <w:spacing w:after="0"/>
      </w:pPr>
    </w:p>
    <w:p w14:paraId="6E11DC32" w14:textId="77777777" w:rsidR="00FD1C49" w:rsidRDefault="00BF3D59" w:rsidP="00FD1C49">
      <w:pPr>
        <w:rPr>
          <w:sz w:val="28"/>
          <w:szCs w:val="28"/>
        </w:rPr>
      </w:pPr>
      <w:r w:rsidRPr="00BF3D59">
        <w:rPr>
          <w:sz w:val="28"/>
          <w:szCs w:val="28"/>
        </w:rPr>
        <w:t>Cure Window</w:t>
      </w:r>
    </w:p>
    <w:p w14:paraId="221FE8FE" w14:textId="24A85FAB" w:rsidR="00FD1C49" w:rsidRDefault="00FD1C49" w:rsidP="00FD1C49">
      <w:pPr>
        <w:rPr>
          <w:sz w:val="28"/>
          <w:szCs w:val="28"/>
        </w:rPr>
      </w:pPr>
      <w:r>
        <w:t xml:space="preserve">Each of these state laws contains a provision enabling a controller </w:t>
      </w:r>
      <w:r w:rsidR="0015527E">
        <w:t xml:space="preserve">to have </w:t>
      </w:r>
      <w:proofErr w:type="gramStart"/>
      <w:r w:rsidR="002A139E">
        <w:t>a period of time</w:t>
      </w:r>
      <w:proofErr w:type="gramEnd"/>
      <w:r w:rsidR="002A139E">
        <w:t xml:space="preserve"> </w:t>
      </w:r>
      <w:r>
        <w:t>to cure</w:t>
      </w:r>
      <w:r w:rsidR="002A139E">
        <w:t xml:space="preserve"> any notice of violation it receives from the state Attorney General.  </w:t>
      </w:r>
      <w:r>
        <w:t xml:space="preserve"> </w:t>
      </w:r>
    </w:p>
    <w:p w14:paraId="5DCB672B" w14:textId="491768E5" w:rsidR="00BF3D59" w:rsidRDefault="00BF3D59" w:rsidP="00BF3D59">
      <w:pPr>
        <w:spacing w:after="0"/>
      </w:pPr>
      <w:r w:rsidRPr="00BF3D59">
        <w:rPr>
          <w:u w:val="single"/>
        </w:rPr>
        <w:t>Iowa</w:t>
      </w:r>
      <w:r>
        <w:t xml:space="preserve">: </w:t>
      </w:r>
      <w:r w:rsidR="009460DA">
        <w:t xml:space="preserve">90 days. </w:t>
      </w:r>
    </w:p>
    <w:p w14:paraId="5F41C06D" w14:textId="00F660FA" w:rsidR="00BF3D59" w:rsidRDefault="00BF3D59" w:rsidP="00BF3D59">
      <w:pPr>
        <w:spacing w:after="0"/>
      </w:pPr>
      <w:r w:rsidRPr="00BF3D59">
        <w:rPr>
          <w:u w:val="single"/>
        </w:rPr>
        <w:t>Indiana</w:t>
      </w:r>
      <w:r>
        <w:t xml:space="preserve">: </w:t>
      </w:r>
      <w:r w:rsidR="000C1FDC">
        <w:t>30 days</w:t>
      </w:r>
      <w:r w:rsidR="0018135D">
        <w:t xml:space="preserve">. </w:t>
      </w:r>
    </w:p>
    <w:p w14:paraId="787FED56" w14:textId="213200F6" w:rsidR="00BF3D59" w:rsidRDefault="00BF3D59" w:rsidP="00BF3D59">
      <w:pPr>
        <w:spacing w:after="0"/>
      </w:pPr>
      <w:r w:rsidRPr="00BF3D59">
        <w:rPr>
          <w:u w:val="single"/>
        </w:rPr>
        <w:t>Montana</w:t>
      </w:r>
      <w:r>
        <w:t>:</w:t>
      </w:r>
      <w:r w:rsidR="00C963D9">
        <w:t xml:space="preserve"> 60 days</w:t>
      </w:r>
      <w:r w:rsidR="000F6F94">
        <w:t>,</w:t>
      </w:r>
      <w:r w:rsidR="00C963D9">
        <w:t xml:space="preserve"> </w:t>
      </w:r>
      <w:r w:rsidR="002A139E">
        <w:t>but this provision</w:t>
      </w:r>
      <w:r w:rsidR="00C963D9">
        <w:t xml:space="preserve"> sunset</w:t>
      </w:r>
      <w:r w:rsidR="002A139E">
        <w:t>s</w:t>
      </w:r>
      <w:r w:rsidR="00C963D9">
        <w:t xml:space="preserve"> </w:t>
      </w:r>
      <w:r w:rsidR="002A139E">
        <w:t>as of</w:t>
      </w:r>
      <w:r w:rsidR="00C963D9">
        <w:t xml:space="preserve"> April 1, 2026.</w:t>
      </w:r>
    </w:p>
    <w:p w14:paraId="2E0BE6BD" w14:textId="0E0C3CDE" w:rsidR="0018135D" w:rsidRDefault="00BF3D59" w:rsidP="00BF3D59">
      <w:pPr>
        <w:spacing w:after="0"/>
      </w:pPr>
      <w:r w:rsidRPr="00BF3D59">
        <w:rPr>
          <w:u w:val="single"/>
        </w:rPr>
        <w:t>Tennessee</w:t>
      </w:r>
      <w:r>
        <w:t xml:space="preserve">: </w:t>
      </w:r>
      <w:r w:rsidR="00C963D9">
        <w:t xml:space="preserve">60 days. </w:t>
      </w:r>
    </w:p>
    <w:p w14:paraId="17E5902B" w14:textId="77777777" w:rsidR="00BF3D59" w:rsidRDefault="00BF3D59" w:rsidP="00BF3D59">
      <w:pPr>
        <w:spacing w:after="0"/>
      </w:pPr>
    </w:p>
    <w:p w14:paraId="5E80F7D4" w14:textId="6DCEA968" w:rsidR="006D722D" w:rsidRPr="006D722D" w:rsidRDefault="001729AE" w:rsidP="00C41868">
      <w:pPr>
        <w:rPr>
          <w:sz w:val="28"/>
          <w:szCs w:val="28"/>
        </w:rPr>
      </w:pPr>
      <w:r>
        <w:rPr>
          <w:sz w:val="28"/>
          <w:szCs w:val="28"/>
        </w:rPr>
        <w:t xml:space="preserve">Are </w:t>
      </w:r>
      <w:r w:rsidR="006D722D" w:rsidRPr="006D722D">
        <w:rPr>
          <w:sz w:val="28"/>
          <w:szCs w:val="28"/>
        </w:rPr>
        <w:t>Nonprofits</w:t>
      </w:r>
      <w:r>
        <w:rPr>
          <w:sz w:val="28"/>
          <w:szCs w:val="28"/>
        </w:rPr>
        <w:t xml:space="preserve"> Covered?</w:t>
      </w:r>
    </w:p>
    <w:p w14:paraId="63E82126" w14:textId="51433DBA" w:rsidR="006D722D" w:rsidRDefault="001729AE" w:rsidP="006D722D">
      <w:pPr>
        <w:contextualSpacing/>
      </w:pPr>
      <w:r>
        <w:t>Under all four laws,</w:t>
      </w:r>
      <w:r w:rsidR="006D722D">
        <w:t xml:space="preserve"> </w:t>
      </w:r>
      <w:r w:rsidR="0071314F">
        <w:t>Nonprofit</w:t>
      </w:r>
      <w:r w:rsidR="00B538D4">
        <w:t xml:space="preserve"> organizations</w:t>
      </w:r>
      <w:r w:rsidR="0071314F">
        <w:t xml:space="preserve"> are exempt.</w:t>
      </w:r>
      <w:r w:rsidR="00F6752A">
        <w:t xml:space="preserve">  </w:t>
      </w:r>
      <w:r w:rsidR="00EA7BB7">
        <w:t>In at least Iowa and Montana, higher education institutions are not covered.</w:t>
      </w:r>
      <w:r w:rsidR="0071314F">
        <w:t xml:space="preserve"> </w:t>
      </w:r>
    </w:p>
    <w:p w14:paraId="5B2EFCBE" w14:textId="77777777" w:rsidR="00425894" w:rsidRDefault="00425894" w:rsidP="006D722D">
      <w:pPr>
        <w:contextualSpacing/>
      </w:pPr>
    </w:p>
    <w:p w14:paraId="7C582949" w14:textId="386BE637" w:rsidR="00425894" w:rsidRPr="00425894" w:rsidRDefault="00425894" w:rsidP="00A95CAA">
      <w:pPr>
        <w:rPr>
          <w:sz w:val="28"/>
          <w:szCs w:val="28"/>
        </w:rPr>
      </w:pPr>
      <w:r w:rsidRPr="00425894">
        <w:rPr>
          <w:sz w:val="28"/>
          <w:szCs w:val="28"/>
        </w:rPr>
        <w:t>Data Exemptions</w:t>
      </w:r>
    </w:p>
    <w:p w14:paraId="050E8301" w14:textId="2EEF94FB" w:rsidR="002A139E" w:rsidRPr="006E4730" w:rsidRDefault="00B538D4" w:rsidP="006E4730">
      <w:pPr>
        <w:spacing w:after="0"/>
      </w:pPr>
      <w:r>
        <w:t xml:space="preserve">Under all four laws, </w:t>
      </w:r>
      <w:r w:rsidR="007222B0">
        <w:t xml:space="preserve">personal information </w:t>
      </w:r>
      <w:r w:rsidR="009C10EB">
        <w:t xml:space="preserve">collected by a controller </w:t>
      </w:r>
      <w:r w:rsidR="007222B0">
        <w:t xml:space="preserve">under FERPA (“student data”) is </w:t>
      </w:r>
      <w:r w:rsidR="00AE0FDB">
        <w:t xml:space="preserve">exempted.  Besides FERPA, </w:t>
      </w:r>
      <w:r w:rsidR="009C10EB">
        <w:t xml:space="preserve">collection of </w:t>
      </w:r>
      <w:r w:rsidR="0071314F">
        <w:t>dat</w:t>
      </w:r>
      <w:r w:rsidR="009C10EB">
        <w:t xml:space="preserve">a </w:t>
      </w:r>
      <w:r w:rsidR="0071314F">
        <w:t xml:space="preserve">subject </w:t>
      </w:r>
      <w:r w:rsidR="00EC62E4">
        <w:t xml:space="preserve">to </w:t>
      </w:r>
      <w:r w:rsidR="00AE0FDB">
        <w:t>HIPAA</w:t>
      </w:r>
      <w:r w:rsidR="009C10EB">
        <w:t xml:space="preserve"> (personal health information)</w:t>
      </w:r>
      <w:r w:rsidR="00AE0FDB">
        <w:t>, COPPA</w:t>
      </w:r>
      <w:r w:rsidR="009C10EB">
        <w:t xml:space="preserve"> (children’s data)</w:t>
      </w:r>
      <w:r w:rsidR="00AE0FDB">
        <w:t xml:space="preserve">, and </w:t>
      </w:r>
      <w:r w:rsidR="0071314F">
        <w:t>G</w:t>
      </w:r>
      <w:r>
        <w:t>ramm</w:t>
      </w:r>
      <w:r w:rsidR="00880194">
        <w:t>/</w:t>
      </w:r>
      <w:r>
        <w:t>Leach</w:t>
      </w:r>
      <w:r w:rsidR="00880194">
        <w:t>/</w:t>
      </w:r>
      <w:r>
        <w:t>Bliley Act</w:t>
      </w:r>
      <w:r w:rsidR="009C10EB">
        <w:t xml:space="preserve"> (regulated financial information)</w:t>
      </w:r>
      <w:r w:rsidR="0071314F">
        <w:t>, are exempt.</w:t>
      </w:r>
      <w:r w:rsidR="00EC62E4">
        <w:t xml:space="preserve"> </w:t>
      </w:r>
      <w:r w:rsidR="00526384">
        <w:t xml:space="preserve">  </w:t>
      </w:r>
      <w:r w:rsidR="00EC62E4">
        <w:t xml:space="preserve"> </w:t>
      </w:r>
      <w:r w:rsidR="00674FDE">
        <w:t xml:space="preserve">  </w:t>
      </w:r>
    </w:p>
    <w:p w14:paraId="10D8874E" w14:textId="49680BD5" w:rsidR="00BF3D59" w:rsidRPr="00BF3D59" w:rsidRDefault="00BF3D59" w:rsidP="00BF3D59">
      <w:pPr>
        <w:rPr>
          <w:sz w:val="28"/>
          <w:szCs w:val="28"/>
        </w:rPr>
      </w:pPr>
      <w:r w:rsidRPr="00BF3D59">
        <w:rPr>
          <w:sz w:val="28"/>
          <w:szCs w:val="28"/>
        </w:rPr>
        <w:lastRenderedPageBreak/>
        <w:t>Consumer Request Response Window</w:t>
      </w:r>
    </w:p>
    <w:p w14:paraId="5DB74328" w14:textId="059B5146" w:rsidR="00BF3D59" w:rsidRDefault="00BF3D59" w:rsidP="00BF3D59">
      <w:pPr>
        <w:spacing w:after="0"/>
      </w:pPr>
      <w:r w:rsidRPr="00BF3D59">
        <w:rPr>
          <w:u w:val="single"/>
        </w:rPr>
        <w:t>Iowa</w:t>
      </w:r>
      <w:r>
        <w:t xml:space="preserve">: </w:t>
      </w:r>
      <w:r w:rsidR="00D065DE">
        <w:t>90 days, which can be extended once by an additional 45 days when reasonably necessary</w:t>
      </w:r>
      <w:r w:rsidR="0045665D">
        <w:t xml:space="preserve">. </w:t>
      </w:r>
    </w:p>
    <w:p w14:paraId="5A984121" w14:textId="133CAD98" w:rsidR="00BF3D59" w:rsidRDefault="00BF3D59" w:rsidP="00BF3D59">
      <w:pPr>
        <w:spacing w:after="0"/>
      </w:pPr>
      <w:r w:rsidRPr="00BF3D59">
        <w:rPr>
          <w:u w:val="single"/>
        </w:rPr>
        <w:t>Indiana</w:t>
      </w:r>
      <w:r>
        <w:t xml:space="preserve">: </w:t>
      </w:r>
      <w:r w:rsidR="00150C4C">
        <w:t>45</w:t>
      </w:r>
      <w:r w:rsidR="00A41C60">
        <w:t xml:space="preserve"> days, which can be extended once by an additional 45 days when reasonably necessary. </w:t>
      </w:r>
    </w:p>
    <w:p w14:paraId="1E076289" w14:textId="3225B7D0" w:rsidR="00BF3D59" w:rsidRDefault="00BF3D59" w:rsidP="00BF3D59">
      <w:pPr>
        <w:spacing w:after="0"/>
      </w:pPr>
      <w:r w:rsidRPr="00BF3D59">
        <w:rPr>
          <w:u w:val="single"/>
        </w:rPr>
        <w:t>Montana</w:t>
      </w:r>
      <w:r>
        <w:t>:</w:t>
      </w:r>
      <w:r w:rsidR="00085EE5">
        <w:t xml:space="preserve"> 45 days, which can be extended once by an additional 45 days when reasonably necessary. </w:t>
      </w:r>
    </w:p>
    <w:p w14:paraId="0170080F" w14:textId="77777777" w:rsidR="007E556A" w:rsidRDefault="00BF3D59" w:rsidP="007E556A">
      <w:pPr>
        <w:spacing w:after="0"/>
      </w:pPr>
      <w:r w:rsidRPr="00BF3D59">
        <w:rPr>
          <w:u w:val="single"/>
        </w:rPr>
        <w:t>Tennessee</w:t>
      </w:r>
      <w:r>
        <w:t xml:space="preserve">: </w:t>
      </w:r>
      <w:r w:rsidR="007E556A">
        <w:t xml:space="preserve">45 days, which can be extended once by an additional 45 days when reasonably necessary. </w:t>
      </w:r>
    </w:p>
    <w:p w14:paraId="63A408A7" w14:textId="77777777" w:rsidR="0045665D" w:rsidRDefault="0045665D" w:rsidP="007E556A">
      <w:pPr>
        <w:spacing w:after="0"/>
      </w:pPr>
    </w:p>
    <w:p w14:paraId="651711EC" w14:textId="3C2F2AEF" w:rsidR="0045665D" w:rsidRDefault="0045665D" w:rsidP="0071314F">
      <w:pPr>
        <w:rPr>
          <w:sz w:val="28"/>
          <w:szCs w:val="28"/>
        </w:rPr>
      </w:pPr>
      <w:r w:rsidRPr="0045665D">
        <w:rPr>
          <w:sz w:val="28"/>
          <w:szCs w:val="28"/>
        </w:rPr>
        <w:t>Right to Appeal Consumer Request Response</w:t>
      </w:r>
    </w:p>
    <w:p w14:paraId="48CB458F" w14:textId="0B83A49D" w:rsidR="0045665D" w:rsidRDefault="0045665D" w:rsidP="0045665D">
      <w:pPr>
        <w:spacing w:after="0"/>
      </w:pPr>
      <w:r w:rsidRPr="00BF3D59">
        <w:rPr>
          <w:u w:val="single"/>
        </w:rPr>
        <w:t>Iowa</w:t>
      </w:r>
      <w:r>
        <w:t xml:space="preserve">: </w:t>
      </w:r>
      <w:r w:rsidR="009B14EA">
        <w:t xml:space="preserve">Right to appeal consumer right request decision, required to inform </w:t>
      </w:r>
      <w:r w:rsidR="001D6726">
        <w:t xml:space="preserve">consumer </w:t>
      </w:r>
      <w:r w:rsidR="009B14EA">
        <w:t xml:space="preserve">within 60 days. </w:t>
      </w:r>
    </w:p>
    <w:p w14:paraId="39384801" w14:textId="74FFB885" w:rsidR="0045665D" w:rsidRDefault="0045665D" w:rsidP="0045665D">
      <w:pPr>
        <w:spacing w:after="0"/>
      </w:pPr>
      <w:r w:rsidRPr="00BF3D59">
        <w:rPr>
          <w:u w:val="single"/>
        </w:rPr>
        <w:t>Indiana</w:t>
      </w:r>
      <w:r>
        <w:t xml:space="preserve">: </w:t>
      </w:r>
      <w:r w:rsidR="004240C6">
        <w:t>Right to appeal</w:t>
      </w:r>
      <w:r w:rsidR="007F6942">
        <w:t xml:space="preserve"> consumer right request decision</w:t>
      </w:r>
      <w:r w:rsidR="00AC1A79">
        <w:t xml:space="preserve">, required to inform </w:t>
      </w:r>
      <w:r w:rsidR="001C1E5B">
        <w:t xml:space="preserve">consumer </w:t>
      </w:r>
      <w:r w:rsidR="00AC1A79">
        <w:t>within 60 days</w:t>
      </w:r>
      <w:r w:rsidR="007F6942">
        <w:t xml:space="preserve">. </w:t>
      </w:r>
    </w:p>
    <w:p w14:paraId="3F2F2C06" w14:textId="5B582190" w:rsidR="0045665D" w:rsidRDefault="0045665D" w:rsidP="0045665D">
      <w:pPr>
        <w:spacing w:after="0"/>
      </w:pPr>
      <w:r w:rsidRPr="00BF3D59">
        <w:rPr>
          <w:u w:val="single"/>
        </w:rPr>
        <w:t>Montana</w:t>
      </w:r>
      <w:r>
        <w:t xml:space="preserve">: </w:t>
      </w:r>
      <w:r w:rsidR="007451BE">
        <w:t xml:space="preserve">Right to appeal consumer right request decision, required to inform </w:t>
      </w:r>
      <w:r w:rsidR="001C1E5B">
        <w:t xml:space="preserve">consumer </w:t>
      </w:r>
      <w:r w:rsidR="007451BE">
        <w:t xml:space="preserve">within 60 days. </w:t>
      </w:r>
    </w:p>
    <w:p w14:paraId="4503EE77" w14:textId="1C348140" w:rsidR="0045665D" w:rsidRPr="0045665D" w:rsidRDefault="0045665D" w:rsidP="007E556A">
      <w:pPr>
        <w:spacing w:after="0"/>
      </w:pPr>
      <w:r w:rsidRPr="00BF3D59">
        <w:rPr>
          <w:u w:val="single"/>
        </w:rPr>
        <w:t>Tennessee</w:t>
      </w:r>
      <w:r>
        <w:t xml:space="preserve">: </w:t>
      </w:r>
      <w:r w:rsidR="00C0585F">
        <w:t xml:space="preserve">Right to appeal consumer right request decision, required to inform </w:t>
      </w:r>
      <w:r w:rsidR="001C1E5B">
        <w:t xml:space="preserve">consumer </w:t>
      </w:r>
      <w:r w:rsidR="00C0585F">
        <w:t>within 60 days</w:t>
      </w:r>
      <w:r w:rsidR="001C1E5B">
        <w:t>.</w:t>
      </w:r>
    </w:p>
    <w:p w14:paraId="53324FD8" w14:textId="77777777" w:rsidR="00BF3D59" w:rsidRDefault="00BF3D59" w:rsidP="00BF3D59">
      <w:pPr>
        <w:spacing w:after="0"/>
      </w:pPr>
    </w:p>
    <w:p w14:paraId="38758FDC" w14:textId="35E58F08" w:rsidR="00BF3D59" w:rsidRPr="00BF3D59" w:rsidRDefault="009A4EC7" w:rsidP="00BF3D59">
      <w:pPr>
        <w:rPr>
          <w:sz w:val="28"/>
          <w:szCs w:val="28"/>
        </w:rPr>
      </w:pPr>
      <w:r>
        <w:rPr>
          <w:sz w:val="28"/>
          <w:szCs w:val="28"/>
        </w:rPr>
        <w:t>Private Right of Action/</w:t>
      </w:r>
      <w:r w:rsidRPr="00BF3D59">
        <w:rPr>
          <w:sz w:val="28"/>
          <w:szCs w:val="28"/>
        </w:rPr>
        <w:t>Enforcement</w:t>
      </w:r>
    </w:p>
    <w:p w14:paraId="65C08E1C" w14:textId="126215B0" w:rsidR="00BF3D59" w:rsidRPr="00AE5464" w:rsidRDefault="00B538D4" w:rsidP="00BF3D59">
      <w:pPr>
        <w:spacing w:after="0"/>
      </w:pPr>
      <w:r>
        <w:t>None of the four laws give</w:t>
      </w:r>
      <w:r w:rsidR="002A139E">
        <w:t>s a</w:t>
      </w:r>
      <w:r>
        <w:t xml:space="preserve"> consumer a </w:t>
      </w:r>
      <w:r w:rsidR="000F2858">
        <w:t>private right of action</w:t>
      </w:r>
      <w:r>
        <w:t xml:space="preserve"> to enforce the laws</w:t>
      </w:r>
      <w:r w:rsidR="000F2858">
        <w:t xml:space="preserve">. </w:t>
      </w:r>
    </w:p>
    <w:p w14:paraId="2095BE02" w14:textId="77777777" w:rsidR="009A4EC7" w:rsidRDefault="009A4EC7" w:rsidP="00BF3D59">
      <w:pPr>
        <w:spacing w:after="0"/>
      </w:pPr>
    </w:p>
    <w:p w14:paraId="3331CF34" w14:textId="46516B4D" w:rsidR="008A5241" w:rsidRDefault="008A5241" w:rsidP="008A5241">
      <w:pPr>
        <w:rPr>
          <w:sz w:val="28"/>
          <w:szCs w:val="28"/>
        </w:rPr>
      </w:pPr>
      <w:r w:rsidRPr="008A5241">
        <w:rPr>
          <w:sz w:val="28"/>
          <w:szCs w:val="28"/>
        </w:rPr>
        <w:t>Rulemaking</w:t>
      </w:r>
    </w:p>
    <w:p w14:paraId="3F67BA68" w14:textId="77B410E3" w:rsidR="004E0394" w:rsidRDefault="004E0394" w:rsidP="004E0394">
      <w:pPr>
        <w:contextualSpacing/>
      </w:pPr>
      <w:r>
        <w:t>Will the state Attorney General adopt written regulations interpreting the new privacy law to assist covered businesses in understanding how to comply with the new law?</w:t>
      </w:r>
    </w:p>
    <w:p w14:paraId="4DE813FA" w14:textId="77777777" w:rsidR="004E0394" w:rsidRPr="004E0394" w:rsidRDefault="004E0394" w:rsidP="004E0394">
      <w:pPr>
        <w:contextualSpacing/>
      </w:pPr>
    </w:p>
    <w:p w14:paraId="18E6C1EE" w14:textId="56CADC06" w:rsidR="008A5241" w:rsidRDefault="008A5241" w:rsidP="008A5241">
      <w:pPr>
        <w:spacing w:after="0"/>
      </w:pPr>
      <w:r w:rsidRPr="00AE5464">
        <w:rPr>
          <w:u w:val="single"/>
        </w:rPr>
        <w:t>Iowa</w:t>
      </w:r>
      <w:r>
        <w:t xml:space="preserve">: </w:t>
      </w:r>
      <w:r w:rsidR="00C44A47">
        <w:t xml:space="preserve">No formal rulemaking. </w:t>
      </w:r>
    </w:p>
    <w:p w14:paraId="5ADBD9F5" w14:textId="4C7AECF3" w:rsidR="002A1F5C" w:rsidRDefault="008A5241" w:rsidP="002A1F5C">
      <w:pPr>
        <w:spacing w:after="0"/>
        <w:rPr>
          <w:u w:val="single"/>
        </w:rPr>
      </w:pPr>
      <w:r w:rsidRPr="00AE5464">
        <w:rPr>
          <w:u w:val="single"/>
        </w:rPr>
        <w:t>Indiana</w:t>
      </w:r>
      <w:r>
        <w:t xml:space="preserve">: </w:t>
      </w:r>
      <w:r w:rsidR="002F4C36">
        <w:t xml:space="preserve">No formal rulemaking. </w:t>
      </w:r>
      <w:r w:rsidR="004E0394">
        <w:t>Law</w:t>
      </w:r>
      <w:r w:rsidR="002F4C36">
        <w:t xml:space="preserve"> a</w:t>
      </w:r>
      <w:r w:rsidR="0097292B" w:rsidRPr="0097292B">
        <w:t xml:space="preserve">llows the </w:t>
      </w:r>
      <w:r w:rsidR="002F4C36">
        <w:t xml:space="preserve">Indiana </w:t>
      </w:r>
      <w:r w:rsidR="004E0394">
        <w:t>A</w:t>
      </w:r>
      <w:r w:rsidR="0097292B" w:rsidRPr="0097292B">
        <w:t xml:space="preserve">ttorney </w:t>
      </w:r>
      <w:r w:rsidR="004E0394">
        <w:t>G</w:t>
      </w:r>
      <w:r w:rsidR="0097292B" w:rsidRPr="0097292B">
        <w:t xml:space="preserve">eneral to publish </w:t>
      </w:r>
      <w:r w:rsidR="002A1F5C">
        <w:t>a list of resources for controllers</w:t>
      </w:r>
      <w:r w:rsidR="000F5FCF">
        <w:t xml:space="preserve"> (including </w:t>
      </w:r>
      <w:r w:rsidR="002A1F5C">
        <w:t>sample privacy notices and disclosures</w:t>
      </w:r>
      <w:r w:rsidR="000F5FCF">
        <w:t xml:space="preserve">) </w:t>
      </w:r>
      <w:r w:rsidR="002A1F5C">
        <w:t xml:space="preserve">to assist controllers </w:t>
      </w:r>
      <w:r w:rsidR="000F5FCF">
        <w:t>with compliance</w:t>
      </w:r>
      <w:r w:rsidR="00A05093">
        <w:t xml:space="preserve">. </w:t>
      </w:r>
    </w:p>
    <w:p w14:paraId="11D39F85" w14:textId="526131AD" w:rsidR="008A5241" w:rsidRDefault="008A5241" w:rsidP="002A1F5C">
      <w:pPr>
        <w:spacing w:after="0"/>
      </w:pPr>
      <w:r w:rsidRPr="00AE5464">
        <w:rPr>
          <w:u w:val="single"/>
        </w:rPr>
        <w:t>Montana</w:t>
      </w:r>
      <w:r>
        <w:t xml:space="preserve">: </w:t>
      </w:r>
      <w:r w:rsidR="00ED4397">
        <w:t xml:space="preserve">No </w:t>
      </w:r>
      <w:r w:rsidR="00E900C4">
        <w:t>formal</w:t>
      </w:r>
      <w:r w:rsidR="00ED4397">
        <w:t xml:space="preserve"> rulemaking. </w:t>
      </w:r>
    </w:p>
    <w:p w14:paraId="7E9B5F3E" w14:textId="44329F9D" w:rsidR="008A5241" w:rsidRDefault="008A5241" w:rsidP="008A5241">
      <w:pPr>
        <w:spacing w:after="0"/>
      </w:pPr>
      <w:r w:rsidRPr="00AE5464">
        <w:rPr>
          <w:u w:val="single"/>
        </w:rPr>
        <w:t>Tennessee</w:t>
      </w:r>
      <w:r w:rsidRPr="00AE5464">
        <w:t>:</w:t>
      </w:r>
      <w:r>
        <w:t xml:space="preserve"> </w:t>
      </w:r>
      <w:r w:rsidR="00BE681C">
        <w:t xml:space="preserve">No formal rulemaking. </w:t>
      </w:r>
    </w:p>
    <w:p w14:paraId="511BD11B" w14:textId="4553EEE1" w:rsidR="008A5241" w:rsidRDefault="007C4DFA" w:rsidP="00BF3D59">
      <w:pPr>
        <w:spacing w:after="0"/>
      </w:pPr>
      <w:r>
        <w:t xml:space="preserve"> </w:t>
      </w:r>
    </w:p>
    <w:p w14:paraId="46F28D85" w14:textId="36C8CCB4" w:rsidR="009A4EC7" w:rsidRPr="009A4EC7" w:rsidRDefault="009A4EC7" w:rsidP="00BF3D59">
      <w:pPr>
        <w:spacing w:after="0"/>
        <w:rPr>
          <w:sz w:val="28"/>
          <w:szCs w:val="28"/>
        </w:rPr>
      </w:pPr>
      <w:r w:rsidRPr="009A4EC7">
        <w:rPr>
          <w:sz w:val="28"/>
          <w:szCs w:val="28"/>
        </w:rPr>
        <w:t>Other Provisions</w:t>
      </w:r>
    </w:p>
    <w:p w14:paraId="4ED8DA52" w14:textId="77777777" w:rsidR="009A4EC7" w:rsidRDefault="009A4EC7" w:rsidP="00BF3D59">
      <w:pPr>
        <w:spacing w:after="0"/>
      </w:pPr>
    </w:p>
    <w:p w14:paraId="48BDD247" w14:textId="718D2CEA" w:rsidR="004E0394" w:rsidRDefault="004E0394" w:rsidP="004E0394">
      <w:pPr>
        <w:contextualSpacing/>
      </w:pPr>
      <w:r>
        <w:t>Are the</w:t>
      </w:r>
      <w:r w:rsidR="00F31125">
        <w:t>re additional provisions that testing organizations need to know about?</w:t>
      </w:r>
      <w:r>
        <w:t xml:space="preserve"> </w:t>
      </w:r>
    </w:p>
    <w:p w14:paraId="4F855294" w14:textId="77777777" w:rsidR="004E0394" w:rsidRDefault="004E0394" w:rsidP="00BF3D59">
      <w:pPr>
        <w:spacing w:after="0"/>
      </w:pPr>
    </w:p>
    <w:p w14:paraId="2ADB1A39" w14:textId="5DAFE512" w:rsidR="000335CD" w:rsidRPr="002B60D0" w:rsidRDefault="009A4EC7" w:rsidP="009A4EC7">
      <w:pPr>
        <w:spacing w:after="0"/>
        <w:rPr>
          <w:lang w:val="es-ES"/>
        </w:rPr>
      </w:pPr>
      <w:r w:rsidRPr="002B60D0">
        <w:rPr>
          <w:u w:val="single"/>
          <w:lang w:val="es-ES"/>
        </w:rPr>
        <w:t>Iowa</w:t>
      </w:r>
      <w:r w:rsidRPr="002B60D0">
        <w:rPr>
          <w:lang w:val="es-ES"/>
        </w:rPr>
        <w:t xml:space="preserve">: </w:t>
      </w:r>
      <w:proofErr w:type="spellStart"/>
      <w:r w:rsidR="00191094" w:rsidRPr="002B60D0">
        <w:rPr>
          <w:lang w:val="es-ES"/>
        </w:rPr>
        <w:t>N</w:t>
      </w:r>
      <w:r w:rsidR="002B60D0">
        <w:rPr>
          <w:lang w:val="es-ES"/>
        </w:rPr>
        <w:t>one</w:t>
      </w:r>
      <w:proofErr w:type="spellEnd"/>
    </w:p>
    <w:p w14:paraId="0BFB53C3" w14:textId="06A98435" w:rsidR="009A4EC7" w:rsidRPr="002B60D0" w:rsidRDefault="009A4EC7" w:rsidP="009A4EC7">
      <w:pPr>
        <w:spacing w:after="0"/>
        <w:rPr>
          <w:lang w:val="es-ES"/>
        </w:rPr>
      </w:pPr>
      <w:r w:rsidRPr="002B60D0">
        <w:rPr>
          <w:u w:val="single"/>
          <w:lang w:val="es-ES"/>
        </w:rPr>
        <w:t>Indiana</w:t>
      </w:r>
      <w:r w:rsidRPr="002B60D0">
        <w:rPr>
          <w:lang w:val="es-ES"/>
        </w:rPr>
        <w:t xml:space="preserve">: </w:t>
      </w:r>
      <w:proofErr w:type="spellStart"/>
      <w:r w:rsidR="002B60D0">
        <w:rPr>
          <w:lang w:val="es-ES"/>
        </w:rPr>
        <w:t>None</w:t>
      </w:r>
      <w:proofErr w:type="spellEnd"/>
    </w:p>
    <w:p w14:paraId="36D4F165" w14:textId="77777777" w:rsidR="000335CD" w:rsidRPr="002B60D0" w:rsidRDefault="000335CD" w:rsidP="009A4EC7">
      <w:pPr>
        <w:spacing w:after="0"/>
        <w:rPr>
          <w:lang w:val="es-ES"/>
        </w:rPr>
      </w:pPr>
    </w:p>
    <w:p w14:paraId="11DC578A" w14:textId="1EAF38B6" w:rsidR="00D1656D" w:rsidRDefault="009A4EC7" w:rsidP="00D1656D">
      <w:pPr>
        <w:spacing w:after="0"/>
      </w:pPr>
      <w:r w:rsidRPr="00BF3D59">
        <w:rPr>
          <w:u w:val="single"/>
        </w:rPr>
        <w:t>Montana</w:t>
      </w:r>
      <w:r>
        <w:t>:</w:t>
      </w:r>
      <w:r w:rsidR="001931B9">
        <w:t xml:space="preserve"> </w:t>
      </w:r>
      <w:r w:rsidR="00D1656D">
        <w:t>Requires controllers to allow a consumer to opt out of any processing of the consumer's personal data for the purposes of targeted advertising, or any sale of such personal data, through an opt-out preference signal sent with the consumer's consent, to the controller by a platform, technology, or</w:t>
      </w:r>
    </w:p>
    <w:p w14:paraId="03168F39" w14:textId="13A28304" w:rsidR="00D1656D" w:rsidRDefault="00D1656D" w:rsidP="00D1656D">
      <w:pPr>
        <w:spacing w:after="0"/>
      </w:pPr>
      <w:r>
        <w:t xml:space="preserve">mechanism that: </w:t>
      </w:r>
    </w:p>
    <w:p w14:paraId="031211DD" w14:textId="77777777" w:rsidR="00892CC2" w:rsidRDefault="00892CC2" w:rsidP="00892CC2">
      <w:pPr>
        <w:pStyle w:val="ListParagraph"/>
        <w:numPr>
          <w:ilvl w:val="0"/>
          <w:numId w:val="13"/>
        </w:numPr>
        <w:spacing w:after="0"/>
      </w:pPr>
      <w:r>
        <w:t xml:space="preserve">may not unfairly disadvantage another </w:t>
      </w:r>
      <w:proofErr w:type="gramStart"/>
      <w:r>
        <w:t>controller;</w:t>
      </w:r>
      <w:proofErr w:type="gramEnd"/>
    </w:p>
    <w:p w14:paraId="32388F82" w14:textId="6DD22577" w:rsidR="00892CC2" w:rsidRDefault="00892CC2" w:rsidP="00892CC2">
      <w:pPr>
        <w:pStyle w:val="ListParagraph"/>
        <w:numPr>
          <w:ilvl w:val="0"/>
          <w:numId w:val="13"/>
        </w:numPr>
        <w:spacing w:after="0"/>
      </w:pPr>
      <w:r>
        <w:t xml:space="preserve">may not make use of a default setting, but require the consumer to make an affirmative, freely given and unambiguous choice to opt out of any processing of a customer's personal </w:t>
      </w:r>
      <w:proofErr w:type="gramStart"/>
      <w:r>
        <w:t>data;</w:t>
      </w:r>
      <w:proofErr w:type="gramEnd"/>
      <w:r>
        <w:t xml:space="preserve"> </w:t>
      </w:r>
    </w:p>
    <w:p w14:paraId="3EE63CAD" w14:textId="258ED819" w:rsidR="00892CC2" w:rsidRDefault="00892CC2" w:rsidP="00892CC2">
      <w:pPr>
        <w:pStyle w:val="ListParagraph"/>
        <w:numPr>
          <w:ilvl w:val="0"/>
          <w:numId w:val="13"/>
        </w:numPr>
        <w:spacing w:after="0"/>
      </w:pPr>
      <w:r>
        <w:t xml:space="preserve">must be consumer-friendly and easy to use by the average </w:t>
      </w:r>
      <w:proofErr w:type="gramStart"/>
      <w:r>
        <w:t>consumer;</w:t>
      </w:r>
      <w:proofErr w:type="gramEnd"/>
    </w:p>
    <w:p w14:paraId="21B29982" w14:textId="7404FA71" w:rsidR="00892CC2" w:rsidRDefault="00892CC2" w:rsidP="00892CC2">
      <w:pPr>
        <w:pStyle w:val="ListParagraph"/>
        <w:numPr>
          <w:ilvl w:val="0"/>
          <w:numId w:val="13"/>
        </w:numPr>
        <w:spacing w:after="0"/>
      </w:pPr>
      <w:r>
        <w:lastRenderedPageBreak/>
        <w:t>must be consistent with any federal or state law or regulation; and</w:t>
      </w:r>
    </w:p>
    <w:p w14:paraId="5BB7CFD7" w14:textId="7E08A633" w:rsidR="00892CC2" w:rsidRDefault="00892CC2" w:rsidP="00892CC2">
      <w:pPr>
        <w:pStyle w:val="ListParagraph"/>
        <w:numPr>
          <w:ilvl w:val="0"/>
          <w:numId w:val="13"/>
        </w:numPr>
        <w:spacing w:after="0"/>
      </w:pPr>
      <w:r>
        <w:t>must allow the controller to accurately determine whether the consumer is a resident of the</w:t>
      </w:r>
    </w:p>
    <w:p w14:paraId="0A6375B9" w14:textId="51A21D04" w:rsidR="00D1656D" w:rsidRDefault="00892CC2" w:rsidP="00892CC2">
      <w:pPr>
        <w:pStyle w:val="ListParagraph"/>
        <w:spacing w:after="0"/>
      </w:pPr>
      <w:r>
        <w:t xml:space="preserve">state and whether the consumer </w:t>
      </w:r>
      <w:proofErr w:type="gramStart"/>
      <w:r>
        <w:t>has</w:t>
      </w:r>
      <w:proofErr w:type="gramEnd"/>
      <w:r>
        <w:t xml:space="preserve"> made a legitimate request to opt out of any sale of a consumer's personal data or targeted advertising. </w:t>
      </w:r>
    </w:p>
    <w:p w14:paraId="3B31C899" w14:textId="77777777" w:rsidR="000335CD" w:rsidRDefault="000335CD" w:rsidP="009A4EC7">
      <w:pPr>
        <w:spacing w:after="0"/>
      </w:pPr>
    </w:p>
    <w:p w14:paraId="6A93AFE0" w14:textId="4F280FD5" w:rsidR="000335CD" w:rsidRDefault="009A4EC7" w:rsidP="000335CD">
      <w:pPr>
        <w:spacing w:after="0"/>
      </w:pPr>
      <w:r w:rsidRPr="00BF3D59">
        <w:rPr>
          <w:u w:val="single"/>
        </w:rPr>
        <w:t>Tennessee</w:t>
      </w:r>
      <w:r>
        <w:t xml:space="preserve">: </w:t>
      </w:r>
      <w:r w:rsidR="000335CD">
        <w:t xml:space="preserve">A </w:t>
      </w:r>
      <w:r w:rsidR="00345456">
        <w:t xml:space="preserve">unique requirement in the Tennessee law states that a </w:t>
      </w:r>
      <w:r w:rsidR="000335CD">
        <w:t xml:space="preserve">controller or processor shall create, maintain, and comply with a written privacy program that </w:t>
      </w:r>
      <w:r w:rsidR="000335CD" w:rsidRPr="000335CD">
        <w:rPr>
          <w:b/>
          <w:bCs/>
        </w:rPr>
        <w:t xml:space="preserve">reasonably conforms to the National Institute of Standards and Technology (NIST) </w:t>
      </w:r>
      <w:r w:rsidR="00E16A48">
        <w:rPr>
          <w:b/>
          <w:bCs/>
        </w:rPr>
        <w:t>P</w:t>
      </w:r>
      <w:r w:rsidR="000335CD" w:rsidRPr="000335CD">
        <w:rPr>
          <w:b/>
          <w:bCs/>
        </w:rPr>
        <w:t xml:space="preserve">rivacy </w:t>
      </w:r>
      <w:r w:rsidR="00E16A48">
        <w:rPr>
          <w:b/>
          <w:bCs/>
        </w:rPr>
        <w:t>Fr</w:t>
      </w:r>
      <w:r w:rsidR="000335CD" w:rsidRPr="000335CD">
        <w:rPr>
          <w:b/>
          <w:bCs/>
        </w:rPr>
        <w:t>amework</w:t>
      </w:r>
      <w:r w:rsidR="000335CD">
        <w:t xml:space="preserve"> entitled "A Tool for Improving Privacy through Enterprise Risk Management Version 1.0."</w:t>
      </w:r>
      <w:r w:rsidR="00345456">
        <w:t xml:space="preserve">  </w:t>
      </w:r>
      <w:r w:rsidR="005C4077">
        <w:t>This is the first state law to include such a reference to the NIST Framework.</w:t>
      </w:r>
    </w:p>
    <w:p w14:paraId="6CA01AA7" w14:textId="47866FBA" w:rsidR="001F56DA" w:rsidRPr="0062637E" w:rsidRDefault="000335CD" w:rsidP="000335CD">
      <w:pPr>
        <w:spacing w:after="0"/>
      </w:pPr>
      <w:r>
        <w:t>When a subsequent revision to the NIST privacy framework is published, a controller or processor shall reasonably conform its privacy program to the revised framework not later than one (1) year after the publication date stated in the most recent revision.</w:t>
      </w:r>
    </w:p>
    <w:sectPr w:rsidR="001F56DA" w:rsidRPr="0062637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7643A" w14:textId="77777777" w:rsidR="00A874C3" w:rsidRDefault="00A874C3" w:rsidP="000D1126">
      <w:pPr>
        <w:spacing w:after="0" w:line="240" w:lineRule="auto"/>
      </w:pPr>
      <w:r>
        <w:separator/>
      </w:r>
    </w:p>
  </w:endnote>
  <w:endnote w:type="continuationSeparator" w:id="0">
    <w:p w14:paraId="42A4D248" w14:textId="77777777" w:rsidR="00A874C3" w:rsidRDefault="00A874C3" w:rsidP="000D1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8998040"/>
      <w:docPartObj>
        <w:docPartGallery w:val="Page Numbers (Bottom of Page)"/>
        <w:docPartUnique/>
      </w:docPartObj>
    </w:sdtPr>
    <w:sdtEndPr>
      <w:rPr>
        <w:noProof/>
      </w:rPr>
    </w:sdtEndPr>
    <w:sdtContent>
      <w:p w14:paraId="39C3D3BC" w14:textId="0BF462CB" w:rsidR="000D1126" w:rsidRDefault="000D112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2870C37" w14:textId="77777777" w:rsidR="000D1126" w:rsidRDefault="000D11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85657" w14:textId="77777777" w:rsidR="00A874C3" w:rsidRDefault="00A874C3" w:rsidP="000D1126">
      <w:pPr>
        <w:spacing w:after="0" w:line="240" w:lineRule="auto"/>
      </w:pPr>
      <w:r>
        <w:separator/>
      </w:r>
    </w:p>
  </w:footnote>
  <w:footnote w:type="continuationSeparator" w:id="0">
    <w:p w14:paraId="0651ED67" w14:textId="77777777" w:rsidR="00A874C3" w:rsidRDefault="00A874C3" w:rsidP="000D11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D5584"/>
    <w:multiLevelType w:val="hybridMultilevel"/>
    <w:tmpl w:val="F2542FF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7F6EA0"/>
    <w:multiLevelType w:val="hybridMultilevel"/>
    <w:tmpl w:val="7EEEF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4230D"/>
    <w:multiLevelType w:val="hybridMultilevel"/>
    <w:tmpl w:val="70EC8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9867F0"/>
    <w:multiLevelType w:val="hybridMultilevel"/>
    <w:tmpl w:val="4CC21FB2"/>
    <w:lvl w:ilvl="0" w:tplc="C4B603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705125"/>
    <w:multiLevelType w:val="hybridMultilevel"/>
    <w:tmpl w:val="7AB63008"/>
    <w:lvl w:ilvl="0" w:tplc="240AE5D4">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9413AD4"/>
    <w:multiLevelType w:val="hybridMultilevel"/>
    <w:tmpl w:val="2B585E12"/>
    <w:lvl w:ilvl="0" w:tplc="7D8CEA7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2D76C67"/>
    <w:multiLevelType w:val="hybridMultilevel"/>
    <w:tmpl w:val="017EC1EA"/>
    <w:lvl w:ilvl="0" w:tplc="C4B603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9B0552"/>
    <w:multiLevelType w:val="hybridMultilevel"/>
    <w:tmpl w:val="7F0A0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DE5CCF"/>
    <w:multiLevelType w:val="hybridMultilevel"/>
    <w:tmpl w:val="17E2C058"/>
    <w:lvl w:ilvl="0" w:tplc="C4B603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C162C2"/>
    <w:multiLevelType w:val="hybridMultilevel"/>
    <w:tmpl w:val="D9704294"/>
    <w:lvl w:ilvl="0" w:tplc="C4B6034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C89171D"/>
    <w:multiLevelType w:val="hybridMultilevel"/>
    <w:tmpl w:val="E7846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1D2C88"/>
    <w:multiLevelType w:val="hybridMultilevel"/>
    <w:tmpl w:val="2B467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82229B"/>
    <w:multiLevelType w:val="hybridMultilevel"/>
    <w:tmpl w:val="9C72468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15460597">
    <w:abstractNumId w:val="8"/>
  </w:num>
  <w:num w:numId="2" w16cid:durableId="21247577">
    <w:abstractNumId w:val="5"/>
  </w:num>
  <w:num w:numId="3" w16cid:durableId="990526446">
    <w:abstractNumId w:val="2"/>
  </w:num>
  <w:num w:numId="4" w16cid:durableId="1475177394">
    <w:abstractNumId w:val="3"/>
  </w:num>
  <w:num w:numId="5" w16cid:durableId="1219126655">
    <w:abstractNumId w:val="9"/>
  </w:num>
  <w:num w:numId="6" w16cid:durableId="90319931">
    <w:abstractNumId w:val="0"/>
  </w:num>
  <w:num w:numId="7" w16cid:durableId="547186637">
    <w:abstractNumId w:val="4"/>
  </w:num>
  <w:num w:numId="8" w16cid:durableId="2074086464">
    <w:abstractNumId w:val="6"/>
  </w:num>
  <w:num w:numId="9" w16cid:durableId="918711666">
    <w:abstractNumId w:val="10"/>
  </w:num>
  <w:num w:numId="10" w16cid:durableId="1700206108">
    <w:abstractNumId w:val="11"/>
  </w:num>
  <w:num w:numId="11" w16cid:durableId="1828521510">
    <w:abstractNumId w:val="1"/>
  </w:num>
  <w:num w:numId="12" w16cid:durableId="1154370636">
    <w:abstractNumId w:val="7"/>
  </w:num>
  <w:num w:numId="13" w16cid:durableId="14125799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D5F"/>
    <w:rsid w:val="00002C3A"/>
    <w:rsid w:val="00010D52"/>
    <w:rsid w:val="00020E44"/>
    <w:rsid w:val="000335CD"/>
    <w:rsid w:val="00033824"/>
    <w:rsid w:val="00052867"/>
    <w:rsid w:val="000773B3"/>
    <w:rsid w:val="00085EE5"/>
    <w:rsid w:val="00086F47"/>
    <w:rsid w:val="0008751D"/>
    <w:rsid w:val="00090C91"/>
    <w:rsid w:val="000927DB"/>
    <w:rsid w:val="000C194B"/>
    <w:rsid w:val="000C1FDC"/>
    <w:rsid w:val="000C7DFF"/>
    <w:rsid w:val="000D1126"/>
    <w:rsid w:val="000E14A9"/>
    <w:rsid w:val="000E16F3"/>
    <w:rsid w:val="000E5B61"/>
    <w:rsid w:val="000F1666"/>
    <w:rsid w:val="000F2858"/>
    <w:rsid w:val="000F5FCF"/>
    <w:rsid w:val="000F6F94"/>
    <w:rsid w:val="001442AF"/>
    <w:rsid w:val="00150C4C"/>
    <w:rsid w:val="0015527E"/>
    <w:rsid w:val="00167480"/>
    <w:rsid w:val="001729AE"/>
    <w:rsid w:val="001807BC"/>
    <w:rsid w:val="0018135D"/>
    <w:rsid w:val="00191094"/>
    <w:rsid w:val="001931B9"/>
    <w:rsid w:val="00193DBD"/>
    <w:rsid w:val="001C153D"/>
    <w:rsid w:val="001C1E5B"/>
    <w:rsid w:val="001D6726"/>
    <w:rsid w:val="001D7145"/>
    <w:rsid w:val="001E7C66"/>
    <w:rsid w:val="001F2841"/>
    <w:rsid w:val="001F56DA"/>
    <w:rsid w:val="002118CA"/>
    <w:rsid w:val="00215C95"/>
    <w:rsid w:val="00227349"/>
    <w:rsid w:val="00236310"/>
    <w:rsid w:val="002466F9"/>
    <w:rsid w:val="00250E37"/>
    <w:rsid w:val="00283544"/>
    <w:rsid w:val="0029139B"/>
    <w:rsid w:val="00292908"/>
    <w:rsid w:val="0029520B"/>
    <w:rsid w:val="002A139E"/>
    <w:rsid w:val="002A1F5C"/>
    <w:rsid w:val="002B60D0"/>
    <w:rsid w:val="002C2D76"/>
    <w:rsid w:val="002C4B38"/>
    <w:rsid w:val="002C6D3B"/>
    <w:rsid w:val="002E568F"/>
    <w:rsid w:val="002F4C36"/>
    <w:rsid w:val="003000E9"/>
    <w:rsid w:val="00320C73"/>
    <w:rsid w:val="00330D34"/>
    <w:rsid w:val="0033160F"/>
    <w:rsid w:val="00345456"/>
    <w:rsid w:val="00346B87"/>
    <w:rsid w:val="003502C7"/>
    <w:rsid w:val="00374C36"/>
    <w:rsid w:val="00377BBA"/>
    <w:rsid w:val="003F0D5F"/>
    <w:rsid w:val="003F165F"/>
    <w:rsid w:val="00401FBD"/>
    <w:rsid w:val="00420962"/>
    <w:rsid w:val="004240C6"/>
    <w:rsid w:val="00425894"/>
    <w:rsid w:val="00431AB1"/>
    <w:rsid w:val="004514B5"/>
    <w:rsid w:val="0045665D"/>
    <w:rsid w:val="00466805"/>
    <w:rsid w:val="004844E9"/>
    <w:rsid w:val="004B2EBF"/>
    <w:rsid w:val="004E0394"/>
    <w:rsid w:val="004F1964"/>
    <w:rsid w:val="00500614"/>
    <w:rsid w:val="00504AA7"/>
    <w:rsid w:val="00526384"/>
    <w:rsid w:val="0054271F"/>
    <w:rsid w:val="00547BCE"/>
    <w:rsid w:val="005516B6"/>
    <w:rsid w:val="0056715E"/>
    <w:rsid w:val="00576024"/>
    <w:rsid w:val="00577441"/>
    <w:rsid w:val="00580EF8"/>
    <w:rsid w:val="00585F16"/>
    <w:rsid w:val="00593BB1"/>
    <w:rsid w:val="0059717A"/>
    <w:rsid w:val="005B3AC1"/>
    <w:rsid w:val="005C3C2A"/>
    <w:rsid w:val="005C4077"/>
    <w:rsid w:val="005C4889"/>
    <w:rsid w:val="005D1667"/>
    <w:rsid w:val="006052F2"/>
    <w:rsid w:val="00606DD9"/>
    <w:rsid w:val="00620462"/>
    <w:rsid w:val="0062637E"/>
    <w:rsid w:val="00641DBB"/>
    <w:rsid w:val="00651D95"/>
    <w:rsid w:val="00664161"/>
    <w:rsid w:val="00674FDE"/>
    <w:rsid w:val="00696239"/>
    <w:rsid w:val="006A4D58"/>
    <w:rsid w:val="006A7523"/>
    <w:rsid w:val="006D037D"/>
    <w:rsid w:val="006D6F94"/>
    <w:rsid w:val="006D722D"/>
    <w:rsid w:val="006E4730"/>
    <w:rsid w:val="006E62C4"/>
    <w:rsid w:val="006E71CE"/>
    <w:rsid w:val="006F476B"/>
    <w:rsid w:val="006F4A48"/>
    <w:rsid w:val="006F74C6"/>
    <w:rsid w:val="00702FB7"/>
    <w:rsid w:val="007043CC"/>
    <w:rsid w:val="0071314F"/>
    <w:rsid w:val="007215C4"/>
    <w:rsid w:val="007222B0"/>
    <w:rsid w:val="00740188"/>
    <w:rsid w:val="007401C9"/>
    <w:rsid w:val="007451BE"/>
    <w:rsid w:val="007555B8"/>
    <w:rsid w:val="007609D2"/>
    <w:rsid w:val="00786D31"/>
    <w:rsid w:val="00792D63"/>
    <w:rsid w:val="00793A5C"/>
    <w:rsid w:val="0079575A"/>
    <w:rsid w:val="00796BEE"/>
    <w:rsid w:val="00797628"/>
    <w:rsid w:val="007A0207"/>
    <w:rsid w:val="007A6CEF"/>
    <w:rsid w:val="007B5CD0"/>
    <w:rsid w:val="007C4DFA"/>
    <w:rsid w:val="007D05E4"/>
    <w:rsid w:val="007D29EE"/>
    <w:rsid w:val="007E556A"/>
    <w:rsid w:val="007F6942"/>
    <w:rsid w:val="007F742F"/>
    <w:rsid w:val="00800E92"/>
    <w:rsid w:val="00816B26"/>
    <w:rsid w:val="0082715B"/>
    <w:rsid w:val="00840F20"/>
    <w:rsid w:val="008420BB"/>
    <w:rsid w:val="00856176"/>
    <w:rsid w:val="008643EE"/>
    <w:rsid w:val="00866520"/>
    <w:rsid w:val="00880194"/>
    <w:rsid w:val="00890E77"/>
    <w:rsid w:val="00891FED"/>
    <w:rsid w:val="00892CC2"/>
    <w:rsid w:val="008A5241"/>
    <w:rsid w:val="008B513C"/>
    <w:rsid w:val="008B79D4"/>
    <w:rsid w:val="008D59D7"/>
    <w:rsid w:val="008E6B2F"/>
    <w:rsid w:val="009011AE"/>
    <w:rsid w:val="00927408"/>
    <w:rsid w:val="00932425"/>
    <w:rsid w:val="00943305"/>
    <w:rsid w:val="009460DA"/>
    <w:rsid w:val="00961CB6"/>
    <w:rsid w:val="00966712"/>
    <w:rsid w:val="0097292B"/>
    <w:rsid w:val="00986374"/>
    <w:rsid w:val="009A08FC"/>
    <w:rsid w:val="009A4EC7"/>
    <w:rsid w:val="009B14EA"/>
    <w:rsid w:val="009B1D13"/>
    <w:rsid w:val="009C10EB"/>
    <w:rsid w:val="009C45EB"/>
    <w:rsid w:val="009C4DCE"/>
    <w:rsid w:val="009C6F3D"/>
    <w:rsid w:val="009D10D0"/>
    <w:rsid w:val="009D29AD"/>
    <w:rsid w:val="009F770D"/>
    <w:rsid w:val="00A05093"/>
    <w:rsid w:val="00A1129D"/>
    <w:rsid w:val="00A22471"/>
    <w:rsid w:val="00A34C25"/>
    <w:rsid w:val="00A41C60"/>
    <w:rsid w:val="00A4393D"/>
    <w:rsid w:val="00A522C4"/>
    <w:rsid w:val="00A54D4D"/>
    <w:rsid w:val="00A62885"/>
    <w:rsid w:val="00A63621"/>
    <w:rsid w:val="00A81E55"/>
    <w:rsid w:val="00A874C3"/>
    <w:rsid w:val="00A87F19"/>
    <w:rsid w:val="00A95CAA"/>
    <w:rsid w:val="00AB0638"/>
    <w:rsid w:val="00AB42CC"/>
    <w:rsid w:val="00AC0895"/>
    <w:rsid w:val="00AC1A79"/>
    <w:rsid w:val="00AD4852"/>
    <w:rsid w:val="00AE0FDB"/>
    <w:rsid w:val="00AE5464"/>
    <w:rsid w:val="00AF1548"/>
    <w:rsid w:val="00B106C9"/>
    <w:rsid w:val="00B144DA"/>
    <w:rsid w:val="00B4036E"/>
    <w:rsid w:val="00B538D4"/>
    <w:rsid w:val="00B83DBC"/>
    <w:rsid w:val="00B86436"/>
    <w:rsid w:val="00BA369A"/>
    <w:rsid w:val="00BA6803"/>
    <w:rsid w:val="00BB423E"/>
    <w:rsid w:val="00BE1315"/>
    <w:rsid w:val="00BE47FF"/>
    <w:rsid w:val="00BE681C"/>
    <w:rsid w:val="00BF3D59"/>
    <w:rsid w:val="00BF5DF3"/>
    <w:rsid w:val="00C0585F"/>
    <w:rsid w:val="00C1452F"/>
    <w:rsid w:val="00C24B7F"/>
    <w:rsid w:val="00C24E2F"/>
    <w:rsid w:val="00C31492"/>
    <w:rsid w:val="00C41868"/>
    <w:rsid w:val="00C43EFE"/>
    <w:rsid w:val="00C44A47"/>
    <w:rsid w:val="00C46AB0"/>
    <w:rsid w:val="00C54522"/>
    <w:rsid w:val="00C713A0"/>
    <w:rsid w:val="00C812E7"/>
    <w:rsid w:val="00C81EDA"/>
    <w:rsid w:val="00C95D67"/>
    <w:rsid w:val="00C963D9"/>
    <w:rsid w:val="00CA2764"/>
    <w:rsid w:val="00CD5348"/>
    <w:rsid w:val="00CD56D3"/>
    <w:rsid w:val="00CE0140"/>
    <w:rsid w:val="00D065DE"/>
    <w:rsid w:val="00D104DE"/>
    <w:rsid w:val="00D12702"/>
    <w:rsid w:val="00D1656D"/>
    <w:rsid w:val="00D62CDB"/>
    <w:rsid w:val="00D6439F"/>
    <w:rsid w:val="00D758B8"/>
    <w:rsid w:val="00D81ED2"/>
    <w:rsid w:val="00D96110"/>
    <w:rsid w:val="00DB176D"/>
    <w:rsid w:val="00DB2590"/>
    <w:rsid w:val="00DB4360"/>
    <w:rsid w:val="00DC0C50"/>
    <w:rsid w:val="00DD36AA"/>
    <w:rsid w:val="00DF5BFA"/>
    <w:rsid w:val="00E00FEC"/>
    <w:rsid w:val="00E07A9D"/>
    <w:rsid w:val="00E1006B"/>
    <w:rsid w:val="00E16A48"/>
    <w:rsid w:val="00E3231C"/>
    <w:rsid w:val="00E3580D"/>
    <w:rsid w:val="00E43933"/>
    <w:rsid w:val="00E45B8D"/>
    <w:rsid w:val="00E52A3B"/>
    <w:rsid w:val="00E55ED8"/>
    <w:rsid w:val="00E64F81"/>
    <w:rsid w:val="00E660EE"/>
    <w:rsid w:val="00E73DD8"/>
    <w:rsid w:val="00E855C8"/>
    <w:rsid w:val="00E900C4"/>
    <w:rsid w:val="00EA03D9"/>
    <w:rsid w:val="00EA7BB7"/>
    <w:rsid w:val="00EB131A"/>
    <w:rsid w:val="00EC0651"/>
    <w:rsid w:val="00EC62E4"/>
    <w:rsid w:val="00ED39E4"/>
    <w:rsid w:val="00ED4397"/>
    <w:rsid w:val="00EF10C5"/>
    <w:rsid w:val="00EF76D1"/>
    <w:rsid w:val="00F31125"/>
    <w:rsid w:val="00F40576"/>
    <w:rsid w:val="00F52E93"/>
    <w:rsid w:val="00F55B9B"/>
    <w:rsid w:val="00F65E2C"/>
    <w:rsid w:val="00F6752A"/>
    <w:rsid w:val="00F703D6"/>
    <w:rsid w:val="00F872C5"/>
    <w:rsid w:val="00F9304C"/>
    <w:rsid w:val="00FB234D"/>
    <w:rsid w:val="00FB31CE"/>
    <w:rsid w:val="00FC0269"/>
    <w:rsid w:val="00FD1C49"/>
    <w:rsid w:val="00FD2DE3"/>
    <w:rsid w:val="00FD3544"/>
    <w:rsid w:val="00FE1340"/>
    <w:rsid w:val="00FF2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3BF8B"/>
  <w15:chartTrackingRefBased/>
  <w15:docId w15:val="{B419BED3-B0C1-4C40-A6F6-DAD7222DE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14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0D5F"/>
    <w:pPr>
      <w:ind w:left="720"/>
      <w:contextualSpacing/>
    </w:pPr>
  </w:style>
  <w:style w:type="character" w:styleId="CommentReference">
    <w:name w:val="annotation reference"/>
    <w:basedOn w:val="DefaultParagraphFont"/>
    <w:uiPriority w:val="99"/>
    <w:semiHidden/>
    <w:unhideWhenUsed/>
    <w:rsid w:val="00BA6803"/>
    <w:rPr>
      <w:sz w:val="16"/>
      <w:szCs w:val="16"/>
    </w:rPr>
  </w:style>
  <w:style w:type="paragraph" w:styleId="CommentText">
    <w:name w:val="annotation text"/>
    <w:basedOn w:val="Normal"/>
    <w:link w:val="CommentTextChar"/>
    <w:uiPriority w:val="99"/>
    <w:unhideWhenUsed/>
    <w:rsid w:val="00BA6803"/>
    <w:pPr>
      <w:spacing w:line="240" w:lineRule="auto"/>
    </w:pPr>
    <w:rPr>
      <w:sz w:val="20"/>
      <w:szCs w:val="20"/>
    </w:rPr>
  </w:style>
  <w:style w:type="character" w:customStyle="1" w:styleId="CommentTextChar">
    <w:name w:val="Comment Text Char"/>
    <w:basedOn w:val="DefaultParagraphFont"/>
    <w:link w:val="CommentText"/>
    <w:uiPriority w:val="99"/>
    <w:rsid w:val="00BA6803"/>
    <w:rPr>
      <w:sz w:val="20"/>
      <w:szCs w:val="20"/>
    </w:rPr>
  </w:style>
  <w:style w:type="paragraph" w:styleId="CommentSubject">
    <w:name w:val="annotation subject"/>
    <w:basedOn w:val="CommentText"/>
    <w:next w:val="CommentText"/>
    <w:link w:val="CommentSubjectChar"/>
    <w:uiPriority w:val="99"/>
    <w:semiHidden/>
    <w:unhideWhenUsed/>
    <w:rsid w:val="00BA6803"/>
    <w:rPr>
      <w:b/>
      <w:bCs/>
    </w:rPr>
  </w:style>
  <w:style w:type="character" w:customStyle="1" w:styleId="CommentSubjectChar">
    <w:name w:val="Comment Subject Char"/>
    <w:basedOn w:val="CommentTextChar"/>
    <w:link w:val="CommentSubject"/>
    <w:uiPriority w:val="99"/>
    <w:semiHidden/>
    <w:rsid w:val="00BA6803"/>
    <w:rPr>
      <w:b/>
      <w:bCs/>
      <w:sz w:val="20"/>
      <w:szCs w:val="20"/>
    </w:rPr>
  </w:style>
  <w:style w:type="character" w:styleId="Hyperlink">
    <w:name w:val="Hyperlink"/>
    <w:basedOn w:val="DefaultParagraphFont"/>
    <w:uiPriority w:val="99"/>
    <w:unhideWhenUsed/>
    <w:rsid w:val="00BA6803"/>
    <w:rPr>
      <w:color w:val="0563C1" w:themeColor="hyperlink"/>
      <w:u w:val="single"/>
    </w:rPr>
  </w:style>
  <w:style w:type="character" w:styleId="UnresolvedMention">
    <w:name w:val="Unresolved Mention"/>
    <w:basedOn w:val="DefaultParagraphFont"/>
    <w:uiPriority w:val="99"/>
    <w:semiHidden/>
    <w:unhideWhenUsed/>
    <w:rsid w:val="00BA6803"/>
    <w:rPr>
      <w:color w:val="605E5C"/>
      <w:shd w:val="clear" w:color="auto" w:fill="E1DFDD"/>
    </w:rPr>
  </w:style>
  <w:style w:type="paragraph" w:styleId="Header">
    <w:name w:val="header"/>
    <w:basedOn w:val="Normal"/>
    <w:link w:val="HeaderChar"/>
    <w:uiPriority w:val="99"/>
    <w:unhideWhenUsed/>
    <w:rsid w:val="000D11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1126"/>
  </w:style>
  <w:style w:type="paragraph" w:styleId="Footer">
    <w:name w:val="footer"/>
    <w:basedOn w:val="Normal"/>
    <w:link w:val="FooterChar"/>
    <w:uiPriority w:val="99"/>
    <w:unhideWhenUsed/>
    <w:rsid w:val="000D11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1126"/>
  </w:style>
  <w:style w:type="character" w:styleId="Emphasis">
    <w:name w:val="Emphasis"/>
    <w:basedOn w:val="DefaultParagraphFont"/>
    <w:uiPriority w:val="20"/>
    <w:qFormat/>
    <w:rsid w:val="00BB423E"/>
    <w:rPr>
      <w:i/>
      <w:iCs/>
    </w:rPr>
  </w:style>
  <w:style w:type="character" w:styleId="Strong">
    <w:name w:val="Strong"/>
    <w:basedOn w:val="DefaultParagraphFont"/>
    <w:uiPriority w:val="22"/>
    <w:qFormat/>
    <w:rsid w:val="00AB06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326250">
      <w:bodyDiv w:val="1"/>
      <w:marLeft w:val="0"/>
      <w:marRight w:val="0"/>
      <w:marTop w:val="0"/>
      <w:marBottom w:val="0"/>
      <w:divBdr>
        <w:top w:val="none" w:sz="0" w:space="0" w:color="auto"/>
        <w:left w:val="none" w:sz="0" w:space="0" w:color="auto"/>
        <w:bottom w:val="none" w:sz="0" w:space="0" w:color="auto"/>
        <w:right w:val="none" w:sz="0" w:space="0" w:color="auto"/>
      </w:divBdr>
    </w:div>
    <w:div w:id="603539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1968</Words>
  <Characters>11220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Snoeyenbos</dc:creator>
  <cp:keywords/>
  <dc:description/>
  <cp:lastModifiedBy>Lauren Scheib</cp:lastModifiedBy>
  <cp:revision>3</cp:revision>
  <dcterms:created xsi:type="dcterms:W3CDTF">2023-05-25T19:08:00Z</dcterms:created>
  <dcterms:modified xsi:type="dcterms:W3CDTF">2023-05-30T17:25:00Z</dcterms:modified>
</cp:coreProperties>
</file>